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48" w:rsidRPr="00591BAA" w:rsidRDefault="0065724A" w:rsidP="006752E2">
      <w:pPr>
        <w:spacing w:line="560" w:lineRule="exact"/>
        <w:jc w:val="center"/>
        <w:rPr>
          <w:rFonts w:ascii="Times New Roman" w:eastAsia="方正小标宋简体" w:hAnsi="Times New Roman" w:cs="Times New Roman"/>
          <w:sz w:val="44"/>
          <w:szCs w:val="44"/>
        </w:rPr>
      </w:pPr>
      <w:r w:rsidRPr="00591BAA">
        <w:rPr>
          <w:rFonts w:ascii="Times New Roman" w:eastAsia="方正小标宋简体" w:hAnsi="Times New Roman" w:cs="Times New Roman"/>
          <w:sz w:val="44"/>
          <w:szCs w:val="44"/>
        </w:rPr>
        <w:t>无锡市公共安全视频图像信息联网</w:t>
      </w:r>
    </w:p>
    <w:p w:rsidR="00E63E48" w:rsidRPr="00591BAA" w:rsidRDefault="0065724A" w:rsidP="006752E2">
      <w:pPr>
        <w:spacing w:line="560" w:lineRule="exact"/>
        <w:jc w:val="center"/>
        <w:rPr>
          <w:rFonts w:ascii="Times New Roman" w:eastAsia="方正小标宋简体" w:hAnsi="Times New Roman" w:cs="Times New Roman"/>
          <w:sz w:val="44"/>
          <w:szCs w:val="44"/>
        </w:rPr>
      </w:pPr>
      <w:r w:rsidRPr="00591BAA">
        <w:rPr>
          <w:rFonts w:ascii="Times New Roman" w:eastAsia="方正小标宋简体" w:hAnsi="Times New Roman" w:cs="Times New Roman"/>
          <w:sz w:val="44"/>
          <w:szCs w:val="44"/>
        </w:rPr>
        <w:t>共享平台资源接入目录</w:t>
      </w:r>
    </w:p>
    <w:p w:rsidR="00E63E48" w:rsidRPr="006752E2" w:rsidRDefault="0065724A" w:rsidP="006752E2">
      <w:pPr>
        <w:spacing w:line="560" w:lineRule="exact"/>
        <w:jc w:val="center"/>
        <w:rPr>
          <w:rFonts w:ascii="Times New Roman" w:eastAsia="方正仿宋_GBK" w:hAnsi="Times New Roman" w:cs="Times New Roman"/>
          <w:sz w:val="32"/>
          <w:szCs w:val="32"/>
        </w:rPr>
      </w:pPr>
      <w:r w:rsidRPr="006752E2">
        <w:rPr>
          <w:rFonts w:ascii="Times New Roman" w:eastAsia="方正仿宋_GBK" w:hAnsi="Times New Roman" w:cs="Times New Roman"/>
          <w:sz w:val="32"/>
          <w:szCs w:val="32"/>
        </w:rPr>
        <w:t>（</w:t>
      </w:r>
      <w:r w:rsidR="000E5CC6" w:rsidRPr="006752E2">
        <w:rPr>
          <w:rFonts w:ascii="Times New Roman" w:eastAsia="方正仿宋_GBK" w:hAnsi="Times New Roman" w:cs="Times New Roman"/>
          <w:sz w:val="32"/>
          <w:szCs w:val="32"/>
        </w:rPr>
        <w:t>试行稿</w:t>
      </w:r>
      <w:r w:rsidRPr="006752E2">
        <w:rPr>
          <w:rFonts w:ascii="Times New Roman" w:eastAsia="方正仿宋_GBK" w:hAnsi="Times New Roman" w:cs="Times New Roman"/>
          <w:sz w:val="32"/>
          <w:szCs w:val="32"/>
        </w:rPr>
        <w:t>）</w:t>
      </w:r>
    </w:p>
    <w:p w:rsidR="00E63E48" w:rsidRPr="00591BAA" w:rsidRDefault="0065724A" w:rsidP="006752E2">
      <w:pPr>
        <w:spacing w:line="560" w:lineRule="exact"/>
        <w:ind w:firstLineChars="225" w:firstLine="720"/>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根据《无锡市公共安全视频图像信息系统管理办法》，现将应当接入公共安全视频图像信息联网共享平台的目录向社会公布。</w:t>
      </w:r>
    </w:p>
    <w:p w:rsidR="00E63E48" w:rsidRPr="00591BAA" w:rsidRDefault="0065724A" w:rsidP="006752E2">
      <w:pPr>
        <w:pStyle w:val="0"/>
        <w:spacing w:line="560" w:lineRule="exact"/>
        <w:ind w:firstLine="640"/>
        <w:rPr>
          <w:rFonts w:ascii="方正黑体_GBK" w:eastAsia="方正黑体_GBK" w:hAnsi="Times New Roman"/>
          <w:color w:val="FF0000"/>
          <w:sz w:val="32"/>
          <w:szCs w:val="32"/>
        </w:rPr>
      </w:pPr>
      <w:r w:rsidRPr="00591BAA">
        <w:rPr>
          <w:rFonts w:ascii="方正黑体_GBK" w:eastAsia="方正黑体_GBK" w:hAnsi="Times New Roman" w:hint="eastAsia"/>
          <w:sz w:val="32"/>
          <w:szCs w:val="32"/>
        </w:rPr>
        <w:t>一、重点公共区域资源接入目录</w:t>
      </w:r>
    </w:p>
    <w:tbl>
      <w:tblPr>
        <w:tblW w:w="88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7891"/>
      </w:tblGrid>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序号</w:t>
            </w:r>
          </w:p>
        </w:tc>
        <w:tc>
          <w:tcPr>
            <w:tcW w:w="7891"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重点公共区域的联网部位</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sz w:val="32"/>
                <w:szCs w:val="32"/>
              </w:rPr>
            </w:pPr>
            <w:r w:rsidRPr="00591BAA">
              <w:rPr>
                <w:rFonts w:ascii="Times New Roman" w:eastAsia="方正仿宋_GBK" w:hAnsi="Times New Roman" w:cs="Times New Roman"/>
                <w:color w:val="000000"/>
                <w:sz w:val="32"/>
                <w:szCs w:val="32"/>
              </w:rPr>
              <w:t>具有政治历史意义、经常性举办重大群众性集会、商业服务、文化宣传、宗教活动等公共活动的露天广场、活动中心、文化中心的主要区域、周边重要路段、路口</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2</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r w:rsidRPr="00591BAA">
              <w:rPr>
                <w:rFonts w:ascii="Times New Roman" w:eastAsia="方正仿宋_GBK" w:hAnsi="Times New Roman" w:cs="Times New Roman"/>
                <w:color w:val="000000"/>
                <w:sz w:val="32"/>
                <w:szCs w:val="32"/>
              </w:rPr>
              <w:t>党政机关驻地大门出入口、周边重要路段、路口</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3</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sz w:val="32"/>
                <w:szCs w:val="32"/>
              </w:rPr>
            </w:pPr>
            <w:r w:rsidRPr="00591BAA">
              <w:rPr>
                <w:rFonts w:ascii="Times New Roman" w:eastAsia="方正仿宋_GBK" w:hAnsi="Times New Roman" w:cs="Times New Roman"/>
                <w:color w:val="000000"/>
                <w:sz w:val="32"/>
                <w:szCs w:val="32"/>
              </w:rPr>
              <w:t>民用机场、铁路车站、长途汽车站、港口、码头等场所外的露天广场主要区域、重要通道、周边路段、路口、出入口，</w:t>
            </w:r>
            <w:r w:rsidR="008A58AA" w:rsidRPr="00591BAA">
              <w:rPr>
                <w:rFonts w:ascii="Times New Roman" w:eastAsia="方正仿宋_GBK" w:hAnsi="Times New Roman" w:cs="Times New Roman"/>
                <w:color w:val="000000"/>
                <w:sz w:val="32"/>
                <w:szCs w:val="32"/>
              </w:rPr>
              <w:t>以及内部</w:t>
            </w:r>
            <w:r w:rsidRPr="00591BAA">
              <w:rPr>
                <w:rFonts w:ascii="Times New Roman" w:eastAsia="方正仿宋_GBK" w:hAnsi="Times New Roman" w:cs="Times New Roman"/>
                <w:sz w:val="32"/>
                <w:szCs w:val="32"/>
              </w:rPr>
              <w:t>售票大厅、候车大厅、安检区等开放区域的人员聚集部位</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4</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r w:rsidRPr="00591BAA">
              <w:rPr>
                <w:rFonts w:ascii="Times New Roman" w:eastAsia="方正仿宋_GBK" w:hAnsi="Times New Roman" w:cs="Times New Roman"/>
                <w:color w:val="000000"/>
                <w:sz w:val="32"/>
                <w:szCs w:val="32"/>
              </w:rPr>
              <w:t>地铁等城市轨道交通站</w:t>
            </w:r>
            <w:r w:rsidR="008A58AA" w:rsidRPr="00591BAA">
              <w:rPr>
                <w:rFonts w:ascii="Times New Roman" w:eastAsia="方正仿宋_GBK" w:hAnsi="Times New Roman" w:cs="Times New Roman"/>
                <w:color w:val="000000"/>
                <w:sz w:val="32"/>
                <w:szCs w:val="32"/>
              </w:rPr>
              <w:t>、城市公共汽车站等场所的</w:t>
            </w:r>
            <w:r w:rsidRPr="00591BAA">
              <w:rPr>
                <w:rFonts w:ascii="Times New Roman" w:eastAsia="方正仿宋_GBK" w:hAnsi="Times New Roman" w:cs="Times New Roman"/>
                <w:color w:val="000000"/>
                <w:sz w:val="32"/>
                <w:szCs w:val="32"/>
              </w:rPr>
              <w:t>周边路段、路口、出入口</w:t>
            </w:r>
            <w:r w:rsidR="008A58AA" w:rsidRPr="00591BAA">
              <w:rPr>
                <w:rFonts w:ascii="Times New Roman" w:eastAsia="方正仿宋_GBK" w:hAnsi="Times New Roman" w:cs="Times New Roman"/>
                <w:color w:val="000000"/>
                <w:sz w:val="32"/>
                <w:szCs w:val="32"/>
              </w:rPr>
              <w:t>，及其</w:t>
            </w:r>
            <w:r w:rsidRPr="00591BAA">
              <w:rPr>
                <w:rFonts w:ascii="Times New Roman" w:eastAsia="方正仿宋_GBK" w:hAnsi="Times New Roman" w:cs="Times New Roman"/>
                <w:color w:val="000000"/>
                <w:sz w:val="32"/>
                <w:szCs w:val="32"/>
              </w:rPr>
              <w:t>车站通道、站台、安检区等开放区域</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5</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r w:rsidRPr="00591BAA">
              <w:rPr>
                <w:rFonts w:ascii="Times New Roman" w:eastAsia="方正仿宋_GBK" w:hAnsi="Times New Roman" w:cs="Times New Roman"/>
                <w:color w:val="000000"/>
                <w:sz w:val="32"/>
                <w:szCs w:val="32"/>
              </w:rPr>
              <w:t>城镇主要道路、商业金融聚集区周边主要路段、路口</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6</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r w:rsidRPr="00591BAA">
              <w:rPr>
                <w:rFonts w:ascii="Times New Roman" w:eastAsia="方正仿宋_GBK" w:hAnsi="Times New Roman" w:cs="Times New Roman"/>
                <w:color w:val="000000"/>
                <w:sz w:val="32"/>
                <w:szCs w:val="32"/>
              </w:rPr>
              <w:t>地下人行通道、隧道、过街天桥等主要通行区域</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7</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sz w:val="32"/>
                <w:szCs w:val="32"/>
              </w:rPr>
            </w:pPr>
            <w:r w:rsidRPr="00591BAA">
              <w:rPr>
                <w:rFonts w:ascii="Times New Roman" w:eastAsia="方正仿宋_GBK" w:hAnsi="Times New Roman" w:cs="Times New Roman"/>
                <w:color w:val="000000"/>
                <w:sz w:val="32"/>
                <w:szCs w:val="32"/>
              </w:rPr>
              <w:t>省市县际、城镇道路主要出入口、收费站通道</w:t>
            </w:r>
            <w:r w:rsidR="008A58AA" w:rsidRPr="00591BAA">
              <w:rPr>
                <w:rFonts w:ascii="Times New Roman" w:eastAsia="方正仿宋_GBK" w:hAnsi="Times New Roman" w:cs="Times New Roman"/>
                <w:sz w:val="32"/>
                <w:szCs w:val="32"/>
              </w:rPr>
              <w:t xml:space="preserve"> </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8</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r w:rsidRPr="00591BAA">
              <w:rPr>
                <w:rFonts w:ascii="Times New Roman" w:eastAsia="方正仿宋_GBK" w:hAnsi="Times New Roman" w:cs="Times New Roman"/>
                <w:color w:val="000000"/>
                <w:sz w:val="32"/>
                <w:szCs w:val="32"/>
              </w:rPr>
              <w:t>高速公路、国道、省道上的治安卡口、卡点、服务区</w:t>
            </w:r>
            <w:r w:rsidR="008A58AA" w:rsidRPr="00591BAA">
              <w:rPr>
                <w:rFonts w:ascii="Times New Roman" w:eastAsia="方正仿宋_GBK" w:hAnsi="Times New Roman" w:cs="Times New Roman"/>
                <w:color w:val="000000"/>
                <w:sz w:val="32"/>
                <w:szCs w:val="32"/>
              </w:rPr>
              <w:t>等</w:t>
            </w:r>
            <w:r w:rsidR="0019517C" w:rsidRPr="00591BAA">
              <w:rPr>
                <w:rFonts w:ascii="Times New Roman" w:eastAsia="方正仿宋_GBK" w:hAnsi="Times New Roman" w:cs="Times New Roman"/>
                <w:color w:val="000000"/>
                <w:sz w:val="32"/>
                <w:szCs w:val="32"/>
              </w:rPr>
              <w:t>的出入口、通道及</w:t>
            </w:r>
            <w:r w:rsidR="0019517C" w:rsidRPr="00591BAA">
              <w:rPr>
                <w:rFonts w:ascii="Times New Roman" w:eastAsia="方正仿宋_GBK" w:hAnsi="Times New Roman" w:cs="Times New Roman"/>
                <w:sz w:val="32"/>
                <w:szCs w:val="32"/>
              </w:rPr>
              <w:t>开放区域的人员聚集部位</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lastRenderedPageBreak/>
              <w:t>9</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r w:rsidRPr="00591BAA">
              <w:rPr>
                <w:rFonts w:ascii="Times New Roman" w:eastAsia="方正仿宋_GBK" w:hAnsi="Times New Roman" w:cs="Times New Roman"/>
                <w:color w:val="000000"/>
                <w:sz w:val="32"/>
                <w:szCs w:val="32"/>
              </w:rPr>
              <w:t>大型桥梁、高架道路、隧道主要通行区域</w:t>
            </w:r>
            <w:r w:rsidR="0019517C" w:rsidRPr="00591BAA">
              <w:rPr>
                <w:rFonts w:ascii="Times New Roman" w:eastAsia="方正仿宋_GBK" w:hAnsi="Times New Roman" w:cs="Times New Roman"/>
                <w:color w:val="000000"/>
                <w:sz w:val="32"/>
                <w:szCs w:val="32"/>
              </w:rPr>
              <w:t>，</w:t>
            </w:r>
            <w:r w:rsidRPr="00591BAA">
              <w:rPr>
                <w:rFonts w:ascii="Times New Roman" w:eastAsia="方正仿宋_GBK" w:hAnsi="Times New Roman" w:cs="Times New Roman"/>
                <w:color w:val="000000"/>
                <w:sz w:val="32"/>
                <w:szCs w:val="32"/>
              </w:rPr>
              <w:t>高铁沿线与其他道路的交叉口</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10</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r w:rsidRPr="00591BAA">
              <w:rPr>
                <w:rFonts w:ascii="Times New Roman" w:eastAsia="方正仿宋_GBK" w:hAnsi="Times New Roman" w:cs="Times New Roman"/>
                <w:color w:val="000000"/>
                <w:sz w:val="32"/>
                <w:szCs w:val="32"/>
              </w:rPr>
              <w:t>重点水域、航道</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11</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r w:rsidRPr="00591BAA">
              <w:rPr>
                <w:rFonts w:ascii="Times New Roman" w:eastAsia="方正仿宋_GBK" w:hAnsi="Times New Roman" w:cs="Times New Roman"/>
                <w:color w:val="000000"/>
                <w:sz w:val="32"/>
                <w:szCs w:val="32"/>
              </w:rPr>
              <w:t>输油、输气管道</w:t>
            </w:r>
          </w:p>
        </w:tc>
      </w:tr>
      <w:tr w:rsidR="00E63E48" w:rsidRPr="00591BAA">
        <w:tc>
          <w:tcPr>
            <w:tcW w:w="992" w:type="dxa"/>
            <w:vAlign w:val="center"/>
          </w:tcPr>
          <w:p w:rsidR="00E63E48" w:rsidRPr="00591BAA" w:rsidRDefault="0065724A" w:rsidP="006752E2">
            <w:pPr>
              <w:topLinePunct/>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12</w:t>
            </w:r>
          </w:p>
        </w:tc>
        <w:tc>
          <w:tcPr>
            <w:tcW w:w="7891" w:type="dxa"/>
            <w:vAlign w:val="center"/>
          </w:tcPr>
          <w:p w:rsidR="00E63E48" w:rsidRPr="00591BAA" w:rsidRDefault="0065724A" w:rsidP="006752E2">
            <w:pPr>
              <w:topLinePunct/>
              <w:spacing w:line="560" w:lineRule="exact"/>
              <w:rPr>
                <w:rFonts w:ascii="Times New Roman" w:eastAsia="方正仿宋_GBK" w:hAnsi="Times New Roman" w:cs="Times New Roman"/>
                <w:color w:val="000000"/>
                <w:sz w:val="32"/>
                <w:szCs w:val="32"/>
              </w:rPr>
            </w:pPr>
            <w:bookmarkStart w:id="0" w:name="_Toc458626916"/>
            <w:bookmarkStart w:id="1" w:name="_Toc460083517"/>
            <w:bookmarkStart w:id="2" w:name="_Toc444438190"/>
            <w:bookmarkStart w:id="3" w:name="_Toc444635918"/>
            <w:bookmarkStart w:id="4" w:name="_Toc452499925"/>
            <w:bookmarkStart w:id="5" w:name="_Toc461295451"/>
            <w:bookmarkStart w:id="6" w:name="_Toc461458444"/>
            <w:bookmarkStart w:id="7" w:name="_Toc452132990"/>
            <w:bookmarkStart w:id="8" w:name="_Toc458353879"/>
            <w:r w:rsidRPr="00591BAA">
              <w:rPr>
                <w:rFonts w:ascii="Times New Roman" w:eastAsia="方正仿宋_GBK" w:hAnsi="Times New Roman" w:cs="Times New Roman"/>
                <w:color w:val="000000"/>
                <w:sz w:val="32"/>
                <w:szCs w:val="32"/>
              </w:rPr>
              <w:t>县级以上人民政府依法确定的其他重点公共区域</w:t>
            </w:r>
            <w:bookmarkEnd w:id="0"/>
            <w:bookmarkEnd w:id="1"/>
            <w:bookmarkEnd w:id="2"/>
            <w:bookmarkEnd w:id="3"/>
            <w:bookmarkEnd w:id="4"/>
            <w:bookmarkEnd w:id="5"/>
            <w:bookmarkEnd w:id="6"/>
            <w:bookmarkEnd w:id="7"/>
            <w:bookmarkEnd w:id="8"/>
          </w:p>
        </w:tc>
      </w:tr>
    </w:tbl>
    <w:p w:rsidR="006752E2" w:rsidRPr="00591BAA" w:rsidRDefault="006752E2" w:rsidP="006752E2">
      <w:pPr>
        <w:pStyle w:val="0"/>
        <w:spacing w:line="560" w:lineRule="exact"/>
        <w:ind w:firstLineChars="50" w:firstLine="160"/>
        <w:rPr>
          <w:rFonts w:ascii="方正黑体_GBK" w:eastAsia="方正黑体_GBK" w:hAnsi="Times New Roman"/>
          <w:sz w:val="32"/>
          <w:szCs w:val="32"/>
        </w:rPr>
      </w:pPr>
      <w:r>
        <w:rPr>
          <w:rFonts w:ascii="方正黑体_GBK" w:eastAsia="方正黑体_GBK" w:hAnsi="Times New Roman" w:hint="eastAsia"/>
          <w:sz w:val="32"/>
          <w:szCs w:val="32"/>
        </w:rPr>
        <w:t xml:space="preserve">     </w:t>
      </w:r>
      <w:r w:rsidR="0065724A" w:rsidRPr="00591BAA">
        <w:rPr>
          <w:rFonts w:ascii="方正黑体_GBK" w:eastAsia="方正黑体_GBK" w:hAnsi="Times New Roman"/>
          <w:sz w:val="32"/>
          <w:szCs w:val="32"/>
        </w:rPr>
        <w:t>二、行业领域公共区域资源接入目录</w:t>
      </w:r>
    </w:p>
    <w:tbl>
      <w:tblPr>
        <w:tblpPr w:leftFromText="180" w:rightFromText="180" w:vertAnchor="text" w:horzAnchor="page" w:tblpX="2113" w:tblpY="374"/>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747"/>
        <w:gridCol w:w="6049"/>
      </w:tblGrid>
      <w:tr w:rsidR="00E63E48" w:rsidRPr="00591BAA">
        <w:trPr>
          <w:trHeight w:val="454"/>
        </w:trPr>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序号</w:t>
            </w:r>
          </w:p>
        </w:tc>
        <w:tc>
          <w:tcPr>
            <w:tcW w:w="1747"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行业领域</w:t>
            </w:r>
          </w:p>
        </w:tc>
        <w:tc>
          <w:tcPr>
            <w:tcW w:w="6049" w:type="dxa"/>
            <w:vAlign w:val="center"/>
          </w:tcPr>
          <w:p w:rsidR="00E63E48" w:rsidRPr="00591BAA" w:rsidRDefault="0065724A" w:rsidP="006752E2">
            <w:pPr>
              <w:spacing w:line="560" w:lineRule="exact"/>
              <w:ind w:firstLineChars="450" w:firstLine="1440"/>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涉及公共区域部位</w:t>
            </w:r>
          </w:p>
        </w:tc>
      </w:tr>
      <w:tr w:rsidR="00E63E48" w:rsidRPr="00591BAA">
        <w:trPr>
          <w:trHeight w:val="736"/>
        </w:trPr>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广播电台、电视台、通讯社、报社等重要新闻单位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主要出入口及覆盖本单位外部一定公共区域的部位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2</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银行、证券、保险等金融机构营业场所</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营业网</w:t>
            </w:r>
            <w:r w:rsidR="00B8771C" w:rsidRPr="00591BAA">
              <w:rPr>
                <w:rFonts w:ascii="Times New Roman" w:eastAsia="方正仿宋_GBK" w:hAnsi="Times New Roman" w:cs="Times New Roman"/>
                <w:sz w:val="32"/>
                <w:szCs w:val="32"/>
              </w:rPr>
              <w:t>点</w:t>
            </w:r>
            <w:r w:rsidRPr="00591BAA">
              <w:rPr>
                <w:rFonts w:ascii="Times New Roman" w:eastAsia="方正仿宋_GBK" w:hAnsi="Times New Roman" w:cs="Times New Roman"/>
                <w:sz w:val="32"/>
                <w:szCs w:val="32"/>
              </w:rPr>
              <w:t>、自助网</w:t>
            </w:r>
            <w:r w:rsidR="00B8771C" w:rsidRPr="00591BAA">
              <w:rPr>
                <w:rFonts w:ascii="Times New Roman" w:eastAsia="方正仿宋_GBK" w:hAnsi="Times New Roman" w:cs="Times New Roman"/>
                <w:sz w:val="32"/>
                <w:szCs w:val="32"/>
              </w:rPr>
              <w:t>点</w:t>
            </w:r>
            <w:r w:rsidRPr="00591BAA">
              <w:rPr>
                <w:rFonts w:ascii="Times New Roman" w:eastAsia="方正仿宋_GBK" w:hAnsi="Times New Roman" w:cs="Times New Roman"/>
                <w:sz w:val="32"/>
                <w:szCs w:val="32"/>
              </w:rPr>
              <w:t>主要出入口及覆盖本单位外部一定公共区域的部位，运钞车交接区、押运通道、营业大厅</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3</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涉及国计民生的水、电、燃气、燃油、热力供应等单位，加油、加气、充电站，粮储、</w:t>
            </w:r>
            <w:r w:rsidRPr="00591BAA">
              <w:rPr>
                <w:rFonts w:ascii="Times New Roman" w:eastAsia="方正仿宋_GBK" w:hAnsi="Times New Roman" w:cs="Times New Roman"/>
                <w:sz w:val="32"/>
                <w:szCs w:val="32"/>
              </w:rPr>
              <w:lastRenderedPageBreak/>
              <w:t>油储等单位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lastRenderedPageBreak/>
              <w:t>出入口、出入库主要通道，储存场所内部及周边、保卫值班室、监控室及</w:t>
            </w:r>
            <w:r w:rsidR="00646749" w:rsidRPr="00591BAA">
              <w:rPr>
                <w:rFonts w:ascii="Times New Roman" w:eastAsia="方正仿宋_GBK" w:hAnsi="Times New Roman" w:cs="Times New Roman"/>
                <w:sz w:val="32"/>
                <w:szCs w:val="32"/>
              </w:rPr>
              <w:t>覆</w:t>
            </w:r>
            <w:r w:rsidRPr="00591BAA">
              <w:rPr>
                <w:rFonts w:ascii="Times New Roman" w:eastAsia="方正仿宋_GBK" w:hAnsi="Times New Roman" w:cs="Times New Roman"/>
                <w:sz w:val="32"/>
                <w:szCs w:val="32"/>
              </w:rPr>
              <w:t>盖本单位外部一定公共区域的部位</w:t>
            </w:r>
          </w:p>
        </w:tc>
      </w:tr>
      <w:tr w:rsidR="00E63E48" w:rsidRPr="00591BAA">
        <w:trPr>
          <w:trHeight w:val="507"/>
        </w:trPr>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4</w:t>
            </w:r>
          </w:p>
        </w:tc>
        <w:tc>
          <w:tcPr>
            <w:tcW w:w="1747" w:type="dxa"/>
          </w:tcPr>
          <w:p w:rsidR="00E63E48" w:rsidRPr="00591BAA" w:rsidRDefault="0065724A" w:rsidP="00C53530">
            <w:pPr>
              <w:spacing w:line="560" w:lineRule="exact"/>
              <w:jc w:val="left"/>
              <w:rPr>
                <w:rFonts w:ascii="Times New Roman" w:eastAsia="方正仿宋_GBK" w:hAnsi="Times New Roman" w:cs="Times New Roman"/>
                <w:b/>
                <w:sz w:val="32"/>
                <w:szCs w:val="32"/>
              </w:rPr>
            </w:pPr>
            <w:r w:rsidRPr="00591BAA">
              <w:rPr>
                <w:rFonts w:ascii="Times New Roman" w:eastAsia="方正仿宋_GBK" w:hAnsi="Times New Roman" w:cs="Times New Roman"/>
                <w:sz w:val="32"/>
                <w:szCs w:val="32"/>
              </w:rPr>
              <w:t>国家、省、市重点建设工程</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工地出入口及开放区域的重要部位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5</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高校、学校、幼儿园、校外培训机构等教育单位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出入口、操场及周界</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6</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二级甲等以上医院及其他医疗卫生机构</w:t>
            </w:r>
          </w:p>
        </w:tc>
        <w:tc>
          <w:tcPr>
            <w:tcW w:w="6049" w:type="dxa"/>
          </w:tcPr>
          <w:p w:rsidR="00E63E48" w:rsidRPr="00591BAA" w:rsidRDefault="00E007AF"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主要出入口、挂号大厅、候诊大厅等开放区域人员聚集部位，</w:t>
            </w:r>
            <w:r w:rsidR="0065724A" w:rsidRPr="00591BAA">
              <w:rPr>
                <w:rFonts w:ascii="Times New Roman" w:eastAsia="方正仿宋_GBK" w:hAnsi="Times New Roman" w:cs="Times New Roman"/>
                <w:sz w:val="32"/>
                <w:szCs w:val="32"/>
              </w:rPr>
              <w:t>放射室、实验室等部位及覆盖本单位外部一定公共区域的部位；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7</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博物馆、纪念馆、展览馆、档案馆和重点文物保护单位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场馆出入口、展厅人员聚集部位及覆盖本单位外部一定公共区域的部位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8</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研制、生产、销售、储存危险</w:t>
            </w:r>
            <w:r w:rsidRPr="00591BAA">
              <w:rPr>
                <w:rFonts w:ascii="Times New Roman" w:eastAsia="方正仿宋_GBK" w:hAnsi="Times New Roman" w:cs="Times New Roman"/>
                <w:sz w:val="32"/>
                <w:szCs w:val="32"/>
              </w:rPr>
              <w:lastRenderedPageBreak/>
              <w:t>物品、药品或者实验、保藏传染性菌、毒种的单位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lastRenderedPageBreak/>
              <w:t>出入口、出入库主要通道，储存场所内部及周边、保卫值班室、监控室及</w:t>
            </w:r>
            <w:r w:rsidR="00B8771C" w:rsidRPr="00591BAA">
              <w:rPr>
                <w:rFonts w:ascii="Times New Roman" w:eastAsia="方正仿宋_GBK" w:hAnsi="Times New Roman" w:cs="Times New Roman"/>
                <w:sz w:val="32"/>
                <w:szCs w:val="32"/>
              </w:rPr>
              <w:t>覆盖</w:t>
            </w:r>
            <w:r w:rsidRPr="00591BAA">
              <w:rPr>
                <w:rFonts w:ascii="Times New Roman" w:eastAsia="方正仿宋_GBK" w:hAnsi="Times New Roman" w:cs="Times New Roman"/>
                <w:sz w:val="32"/>
                <w:szCs w:val="32"/>
              </w:rPr>
              <w:t>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9</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易制毒化学品生产、储存、销售单位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出入口、出入库主要通道，储存场所内部及周边、保卫值班室、监控室及</w:t>
            </w:r>
            <w:r w:rsidR="00B8771C" w:rsidRPr="00591BAA">
              <w:rPr>
                <w:rFonts w:ascii="Times New Roman" w:eastAsia="方正仿宋_GBK" w:hAnsi="Times New Roman" w:cs="Times New Roman"/>
                <w:sz w:val="32"/>
                <w:szCs w:val="32"/>
              </w:rPr>
              <w:t>覆盖</w:t>
            </w:r>
            <w:r w:rsidRPr="00591BAA">
              <w:rPr>
                <w:rFonts w:ascii="Times New Roman" w:eastAsia="方正仿宋_GBK" w:hAnsi="Times New Roman" w:cs="Times New Roman"/>
                <w:sz w:val="32"/>
                <w:szCs w:val="32"/>
              </w:rPr>
              <w:t>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10</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公园、旅游景区</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出入口及内部公共区域</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11</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森林、湿地</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开放性公共区域</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12</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大型文化、体育场所和其他大型群众性活动举办场所</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活动场所的出入口、安检区、室外人员聚集区域</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13</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大型商贸中心和大型农贸市场等</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主要出入口、营业场所人员聚集部位、运钞车交接区及押运通道</w:t>
            </w:r>
          </w:p>
        </w:tc>
      </w:tr>
      <w:tr w:rsidR="00E63E48" w:rsidRPr="00591BAA">
        <w:trPr>
          <w:trHeight w:val="653"/>
        </w:trPr>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14</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公交车辆、出租车、网</w:t>
            </w:r>
            <w:r w:rsidRPr="00591BAA">
              <w:rPr>
                <w:rFonts w:ascii="Times New Roman" w:eastAsia="方正仿宋_GBK" w:hAnsi="Times New Roman" w:cs="Times New Roman"/>
                <w:sz w:val="32"/>
                <w:szCs w:val="32"/>
              </w:rPr>
              <w:lastRenderedPageBreak/>
              <w:t>约车</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lastRenderedPageBreak/>
              <w:t>车门处及内部</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15</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居民小区</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主要出入口及内部公共区域</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16</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寄递单位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营业场所出入口、营业大厅交寄接收区</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17</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歌舞娱乐业、电子游戏场所、洗浴按摩等服务场所</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主要出入口、营业大厅、消防通道及覆盖本单位外部一定公共区域的部位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18</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旅馆业、典当、机动车维修、生产性废旧金属收购、金银珠宝、印刷行业、刻章行业、二手机交易业等特种行业单位</w:t>
            </w:r>
          </w:p>
        </w:tc>
        <w:tc>
          <w:tcPr>
            <w:tcW w:w="6049" w:type="dxa"/>
          </w:tcPr>
          <w:p w:rsidR="00E63E48" w:rsidRPr="00591BAA" w:rsidRDefault="00B8771C"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出入口、营业大厅等人员聚集的开放区域，</w:t>
            </w:r>
            <w:r w:rsidR="0065724A" w:rsidRPr="00591BAA">
              <w:rPr>
                <w:rFonts w:ascii="Times New Roman" w:eastAsia="方正仿宋_GBK" w:hAnsi="Times New Roman" w:cs="Times New Roman"/>
                <w:sz w:val="32"/>
                <w:szCs w:val="32"/>
              </w:rPr>
              <w:t>消防通道及覆盖本单位外部一定公共区域的部位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19</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互联网上网服务营业场所等单位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出入口、营业大厅、消防通道及覆盖本单位外部一定公共区域的部位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20</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沿街商铺、</w:t>
            </w:r>
            <w:r w:rsidRPr="00591BAA">
              <w:rPr>
                <w:rFonts w:ascii="Times New Roman" w:eastAsia="方正仿宋_GBK" w:hAnsi="Times New Roman" w:cs="Times New Roman"/>
                <w:sz w:val="32"/>
                <w:szCs w:val="32"/>
              </w:rPr>
              <w:lastRenderedPageBreak/>
              <w:t>超市、便利店等</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lastRenderedPageBreak/>
              <w:t>出入口及覆盖本单位外部一定公共区域的</w:t>
            </w:r>
            <w:r w:rsidRPr="00591BAA">
              <w:rPr>
                <w:rFonts w:ascii="Times New Roman" w:eastAsia="方正仿宋_GBK" w:hAnsi="Times New Roman" w:cs="Times New Roman"/>
                <w:sz w:val="32"/>
                <w:szCs w:val="32"/>
              </w:rPr>
              <w:lastRenderedPageBreak/>
              <w:t>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lastRenderedPageBreak/>
              <w:t>21</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公共停车场</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出入口及停车区域</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22</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从事</w:t>
            </w:r>
            <w:r w:rsidRPr="00591BAA">
              <w:rPr>
                <w:rFonts w:ascii="Times New Roman" w:eastAsia="方正仿宋_GBK" w:hAnsi="Times New Roman" w:cs="Times New Roman"/>
                <w:sz w:val="32"/>
                <w:szCs w:val="32"/>
              </w:rPr>
              <w:t>3D</w:t>
            </w:r>
            <w:r w:rsidRPr="00591BAA">
              <w:rPr>
                <w:rFonts w:ascii="Times New Roman" w:eastAsia="方正仿宋_GBK" w:hAnsi="Times New Roman" w:cs="Times New Roman"/>
                <w:sz w:val="32"/>
                <w:szCs w:val="32"/>
              </w:rPr>
              <w:t>打印业务、民宿、网约房等新兴业态行业单位</w:t>
            </w:r>
          </w:p>
        </w:tc>
        <w:tc>
          <w:tcPr>
            <w:tcW w:w="6049"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出入口及覆盖本单位外部一定公共区域的部位</w:t>
            </w:r>
          </w:p>
        </w:tc>
      </w:tr>
      <w:tr w:rsidR="00E63E48" w:rsidRPr="00591BAA">
        <w:tc>
          <w:tcPr>
            <w:tcW w:w="959" w:type="dxa"/>
            <w:vAlign w:val="center"/>
          </w:tcPr>
          <w:p w:rsidR="00E63E48" w:rsidRPr="00591BAA" w:rsidRDefault="0065724A" w:rsidP="006752E2">
            <w:pPr>
              <w:spacing w:line="560" w:lineRule="exact"/>
              <w:jc w:val="center"/>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23</w:t>
            </w:r>
          </w:p>
        </w:tc>
        <w:tc>
          <w:tcPr>
            <w:tcW w:w="1747" w:type="dxa"/>
          </w:tcPr>
          <w:p w:rsidR="00E63E48" w:rsidRPr="00591BAA" w:rsidRDefault="0065724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县级以上人民政府依法确定的其他治安保卫重点单位</w:t>
            </w:r>
          </w:p>
        </w:tc>
        <w:tc>
          <w:tcPr>
            <w:tcW w:w="6049" w:type="dxa"/>
          </w:tcPr>
          <w:p w:rsidR="00E63E48" w:rsidRPr="00591BAA" w:rsidRDefault="009E562A" w:rsidP="00C53530">
            <w:pPr>
              <w:spacing w:line="560" w:lineRule="exact"/>
              <w:jc w:val="lef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涉及公共区域的</w:t>
            </w:r>
            <w:r w:rsidR="0065724A" w:rsidRPr="00591BAA">
              <w:rPr>
                <w:rFonts w:ascii="Times New Roman" w:eastAsia="方正仿宋_GBK" w:hAnsi="Times New Roman" w:cs="Times New Roman"/>
                <w:sz w:val="32"/>
                <w:szCs w:val="32"/>
              </w:rPr>
              <w:t>视频图像采集部位</w:t>
            </w:r>
          </w:p>
        </w:tc>
      </w:tr>
    </w:tbl>
    <w:p w:rsidR="00E63E48" w:rsidRPr="00591BAA" w:rsidRDefault="00E63E48" w:rsidP="006752E2">
      <w:pPr>
        <w:spacing w:line="560" w:lineRule="exact"/>
        <w:ind w:right="1120"/>
        <w:rPr>
          <w:rFonts w:ascii="Times New Roman" w:eastAsia="方正仿宋_GBK" w:hAnsi="Times New Roman" w:cs="Times New Roman"/>
          <w:b/>
          <w:sz w:val="32"/>
          <w:szCs w:val="32"/>
        </w:rPr>
      </w:pPr>
    </w:p>
    <w:p w:rsidR="00E63E48" w:rsidRPr="00591BAA" w:rsidRDefault="00E63E48" w:rsidP="006752E2">
      <w:pPr>
        <w:spacing w:line="560" w:lineRule="exact"/>
        <w:ind w:firstLineChars="225" w:firstLine="720"/>
        <w:jc w:val="center"/>
        <w:rPr>
          <w:rFonts w:ascii="Times New Roman" w:eastAsia="方正仿宋_GBK" w:hAnsi="Times New Roman" w:cs="Times New Roman"/>
          <w:sz w:val="32"/>
          <w:szCs w:val="32"/>
        </w:rPr>
      </w:pPr>
    </w:p>
    <w:p w:rsidR="00E63E48" w:rsidRPr="00591BAA" w:rsidRDefault="0065724A" w:rsidP="006752E2">
      <w:pPr>
        <w:spacing w:line="560" w:lineRule="exact"/>
        <w:ind w:right="320" w:firstLineChars="225" w:firstLine="720"/>
        <w:jc w:val="righ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无锡市公安局</w:t>
      </w:r>
    </w:p>
    <w:p w:rsidR="00E63E48" w:rsidRPr="00591BAA" w:rsidRDefault="0065724A" w:rsidP="006752E2">
      <w:pPr>
        <w:spacing w:line="560" w:lineRule="exact"/>
        <w:ind w:firstLineChars="225" w:firstLine="720"/>
        <w:jc w:val="right"/>
        <w:rPr>
          <w:rFonts w:ascii="Times New Roman" w:eastAsia="方正仿宋_GBK" w:hAnsi="Times New Roman" w:cs="Times New Roman"/>
          <w:sz w:val="32"/>
          <w:szCs w:val="32"/>
        </w:rPr>
      </w:pPr>
      <w:r w:rsidRPr="00591BAA">
        <w:rPr>
          <w:rFonts w:ascii="Times New Roman" w:eastAsia="方正仿宋_GBK" w:hAnsi="Times New Roman" w:cs="Times New Roman"/>
          <w:sz w:val="32"/>
          <w:szCs w:val="32"/>
        </w:rPr>
        <w:t>2021</w:t>
      </w:r>
      <w:r w:rsidRPr="00591BAA">
        <w:rPr>
          <w:rFonts w:ascii="Times New Roman" w:eastAsia="方正仿宋_GBK" w:hAnsi="Times New Roman" w:cs="Times New Roman"/>
          <w:sz w:val="32"/>
          <w:szCs w:val="32"/>
        </w:rPr>
        <w:t>年</w:t>
      </w:r>
      <w:r w:rsidR="00EB768B">
        <w:rPr>
          <w:rFonts w:ascii="Times New Roman" w:eastAsia="方正仿宋_GBK" w:hAnsi="Times New Roman" w:cs="Times New Roman" w:hint="eastAsia"/>
          <w:sz w:val="32"/>
          <w:szCs w:val="32"/>
        </w:rPr>
        <w:t>3</w:t>
      </w:r>
      <w:r w:rsidRPr="00591BAA">
        <w:rPr>
          <w:rFonts w:ascii="Times New Roman" w:eastAsia="方正仿宋_GBK" w:hAnsi="Times New Roman" w:cs="Times New Roman"/>
          <w:sz w:val="32"/>
          <w:szCs w:val="32"/>
        </w:rPr>
        <w:t>月</w:t>
      </w:r>
      <w:r w:rsidR="00EB768B">
        <w:rPr>
          <w:rFonts w:ascii="Times New Roman" w:eastAsia="方正仿宋_GBK" w:hAnsi="Times New Roman" w:cs="Times New Roman" w:hint="eastAsia"/>
          <w:sz w:val="32"/>
          <w:szCs w:val="32"/>
        </w:rPr>
        <w:t>8</w:t>
      </w:r>
      <w:bookmarkStart w:id="9" w:name="_GoBack"/>
      <w:bookmarkEnd w:id="9"/>
      <w:r w:rsidRPr="00591BAA">
        <w:rPr>
          <w:rFonts w:ascii="Times New Roman" w:eastAsia="方正仿宋_GBK" w:hAnsi="Times New Roman" w:cs="Times New Roman"/>
          <w:sz w:val="32"/>
          <w:szCs w:val="32"/>
        </w:rPr>
        <w:t>日</w:t>
      </w:r>
    </w:p>
    <w:p w:rsidR="00E63E48" w:rsidRPr="00591BAA" w:rsidRDefault="00E63E48" w:rsidP="006752E2">
      <w:pPr>
        <w:spacing w:line="560" w:lineRule="exact"/>
        <w:rPr>
          <w:rFonts w:ascii="Times New Roman" w:eastAsia="仿宋" w:hAnsi="Times New Roman" w:cs="Times New Roman"/>
          <w:sz w:val="28"/>
          <w:szCs w:val="28"/>
        </w:rPr>
      </w:pPr>
    </w:p>
    <w:sectPr w:rsidR="00E63E48" w:rsidRPr="00591BAA" w:rsidSect="00E63E4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9C" w:rsidRDefault="00AC5B9C" w:rsidP="00E63E48">
      <w:r>
        <w:separator/>
      </w:r>
    </w:p>
  </w:endnote>
  <w:endnote w:type="continuationSeparator" w:id="0">
    <w:p w:rsidR="00AC5B9C" w:rsidRDefault="00AC5B9C" w:rsidP="00E6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48" w:rsidRDefault="00671F05">
    <w:pPr>
      <w:pStyle w:val="a3"/>
      <w:jc w:val="right"/>
    </w:pPr>
    <w:r>
      <w:fldChar w:fldCharType="begin"/>
    </w:r>
    <w:r w:rsidR="0065724A">
      <w:instrText xml:space="preserve"> PAGE   \* MERGEFORMAT </w:instrText>
    </w:r>
    <w:r>
      <w:fldChar w:fldCharType="separate"/>
    </w:r>
    <w:r w:rsidR="00EB768B" w:rsidRPr="00EB768B">
      <w:rPr>
        <w:noProof/>
        <w:lang w:val="zh-CN"/>
      </w:rPr>
      <w:t>5</w:t>
    </w:r>
    <w:r>
      <w:rPr>
        <w:lang w:val="zh-CN"/>
      </w:rPr>
      <w:fldChar w:fldCharType="end"/>
    </w:r>
  </w:p>
  <w:p w:rsidR="00E63E48" w:rsidRDefault="00E63E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9C" w:rsidRDefault="00AC5B9C" w:rsidP="00E63E48">
      <w:r>
        <w:separator/>
      </w:r>
    </w:p>
  </w:footnote>
  <w:footnote w:type="continuationSeparator" w:id="0">
    <w:p w:rsidR="00AC5B9C" w:rsidRDefault="00AC5B9C" w:rsidP="00E63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B5BBA"/>
    <w:multiLevelType w:val="multilevel"/>
    <w:tmpl w:val="479B5BBA"/>
    <w:lvl w:ilvl="0" w:tentative="1">
      <w:start w:val="1"/>
      <w:numFmt w:val="decimal"/>
      <w:suff w:val="space"/>
      <w:lvlText w:val="第 %1 章"/>
      <w:lvlJc w:val="center"/>
      <w:pPr>
        <w:ind w:left="0" w:firstLine="0"/>
      </w:pPr>
      <w:rPr>
        <w:rFonts w:cs="Times New Roman" w:hint="eastAsia"/>
        <w:b w:val="0"/>
        <w:bCs w:val="0"/>
        <w:i w:val="0"/>
        <w:iCs w:val="0"/>
        <w:caps w:val="0"/>
        <w:smallCaps w:val="0"/>
        <w:strike w:val="0"/>
        <w:dstrike w:val="0"/>
        <w:color w:val="000000"/>
        <w:spacing w:val="0"/>
        <w:kern w:val="0"/>
        <w:position w:val="0"/>
        <w:u w:val="none"/>
      </w:rPr>
    </w:lvl>
    <w:lvl w:ilvl="1" w:tentative="1">
      <w:start w:val="1"/>
      <w:numFmt w:val="decimal"/>
      <w:pStyle w:val="2"/>
      <w:isLgl/>
      <w:suff w:val="space"/>
      <w:lvlText w:val="%1.%2"/>
      <w:lvlJc w:val="left"/>
      <w:pPr>
        <w:ind w:left="426" w:firstLine="0"/>
      </w:pPr>
      <w:rPr>
        <w:rFonts w:ascii="Arial" w:eastAsia="黑体" w:hAnsi="Arial" w:cs="Times New Roman" w:hint="eastAsia"/>
        <w:b w:val="0"/>
        <w:bCs w:val="0"/>
        <w:i w:val="0"/>
        <w:iCs w:val="0"/>
        <w:caps w:val="0"/>
        <w:smallCaps w:val="0"/>
        <w:strike w:val="0"/>
        <w:dstrike w:val="0"/>
        <w:color w:val="auto"/>
        <w:spacing w:val="0"/>
        <w:w w:val="100"/>
        <w:kern w:val="2"/>
        <w:position w:val="0"/>
        <w:sz w:val="36"/>
        <w:u w:val="none"/>
        <w:shd w:val="clear" w:color="auto" w:fill="auto"/>
        <w:lang w:val="en-US"/>
      </w:rPr>
    </w:lvl>
    <w:lvl w:ilvl="2" w:tentative="1">
      <w:start w:val="1"/>
      <w:numFmt w:val="decimal"/>
      <w:pStyle w:val="3"/>
      <w:isLgl/>
      <w:suff w:val="space"/>
      <w:lvlText w:val="%1.%2.%3"/>
      <w:lvlJc w:val="left"/>
      <w:pPr>
        <w:ind w:left="0" w:firstLine="0"/>
      </w:pPr>
      <w:rPr>
        <w:rFonts w:cs="Times New Roman" w:hint="eastAsia"/>
        <w:b w:val="0"/>
        <w:bCs w:val="0"/>
        <w:i w:val="0"/>
        <w:iCs w:val="0"/>
        <w:caps w:val="0"/>
        <w:smallCaps w:val="0"/>
        <w:strike w:val="0"/>
        <w:dstrike w:val="0"/>
        <w:color w:val="000000"/>
        <w:spacing w:val="0"/>
        <w:kern w:val="0"/>
        <w:position w:val="0"/>
        <w:u w:val="none"/>
      </w:rPr>
    </w:lvl>
    <w:lvl w:ilvl="3" w:tentative="1">
      <w:start w:val="1"/>
      <w:numFmt w:val="decimal"/>
      <w:pStyle w:val="4"/>
      <w:isLgl/>
      <w:suff w:val="space"/>
      <w:lvlText w:val="%1.%2.%3.%4"/>
      <w:lvlJc w:val="left"/>
      <w:pPr>
        <w:ind w:left="0" w:firstLine="0"/>
      </w:pPr>
      <w:rPr>
        <w:b w:val="0"/>
        <w:bCs w:val="0"/>
        <w:i w:val="0"/>
        <w:iCs w:val="0"/>
        <w:caps w:val="0"/>
        <w:smallCaps w:val="0"/>
        <w:strike w:val="0"/>
        <w:dstrike w:val="0"/>
        <w:color w:val="000000"/>
        <w:spacing w:val="0"/>
        <w:position w:val="0"/>
        <w:u w:val="none"/>
      </w:rPr>
    </w:lvl>
    <w:lvl w:ilvl="4" w:tentative="1">
      <w:start w:val="1"/>
      <w:numFmt w:val="decimal"/>
      <w:isLgl/>
      <w:suff w:val="space"/>
      <w:lvlText w:val="%1.%2.%3.%4.%5"/>
      <w:lvlJc w:val="left"/>
      <w:pPr>
        <w:ind w:left="0" w:firstLine="0"/>
      </w:pPr>
      <w:rPr>
        <w:rFonts w:ascii="Arial" w:eastAsia="黑体" w:hAnsi="Arial" w:hint="default"/>
        <w:b w:val="0"/>
        <w:i w:val="0"/>
        <w:sz w:val="28"/>
      </w:rPr>
    </w:lvl>
    <w:lvl w:ilvl="5" w:tentative="1">
      <w:start w:val="1"/>
      <w:numFmt w:val="decimal"/>
      <w:pStyle w:val="6"/>
      <w:isLgl/>
      <w:suff w:val="space"/>
      <w:lvlText w:val="%1.%2.%3.%4.%5.%6"/>
      <w:lvlJc w:val="left"/>
      <w:pPr>
        <w:ind w:left="0" w:firstLine="0"/>
      </w:pPr>
      <w:rPr>
        <w:rFonts w:hint="eastAsia"/>
        <w:b w:val="0"/>
        <w:bCs w:val="0"/>
        <w:i w:val="0"/>
        <w:iCs w:val="0"/>
        <w:caps w:val="0"/>
        <w:smallCaps w:val="0"/>
        <w:strike w:val="0"/>
        <w:dstrike w:val="0"/>
        <w:color w:val="000000"/>
        <w:spacing w:val="0"/>
        <w:position w:val="0"/>
        <w:u w:val="none"/>
      </w:rPr>
    </w:lvl>
    <w:lvl w:ilvl="6" w:tentative="1">
      <w:start w:val="1"/>
      <w:numFmt w:val="decimal"/>
      <w:pStyle w:val="7"/>
      <w:suff w:val="space"/>
      <w:lvlText w:val="%1.%2.%3.%4.%5.%6.%7"/>
      <w:lvlJc w:val="left"/>
      <w:pPr>
        <w:ind w:left="0" w:firstLine="0"/>
      </w:pPr>
      <w:rPr>
        <w:b w:val="0"/>
        <w:bCs w:val="0"/>
        <w:i w:val="0"/>
        <w:iCs w:val="0"/>
        <w:caps w:val="0"/>
        <w:smallCaps w:val="0"/>
        <w:strike w:val="0"/>
        <w:dstrike w:val="0"/>
        <w:color w:val="000000"/>
        <w:spacing w:val="0"/>
        <w:position w:val="0"/>
        <w:u w:val="none"/>
      </w:rPr>
    </w:lvl>
    <w:lvl w:ilvl="7" w:tentative="1">
      <w:start w:val="1"/>
      <w:numFmt w:val="decimal"/>
      <w:pStyle w:val="8"/>
      <w:suff w:val="space"/>
      <w:lvlText w:val="%1.%2.%3.%4.%5.%6.%7.%8"/>
      <w:lvlJc w:val="left"/>
      <w:pPr>
        <w:ind w:left="0" w:firstLine="0"/>
      </w:pPr>
      <w:rPr>
        <w:b w:val="0"/>
        <w:bCs w:val="0"/>
        <w:i w:val="0"/>
        <w:iCs w:val="0"/>
        <w:caps w:val="0"/>
        <w:smallCaps w:val="0"/>
        <w:strike w:val="0"/>
        <w:dstrike w:val="0"/>
        <w:color w:val="000000"/>
        <w:spacing w:val="0"/>
        <w:position w:val="0"/>
        <w:u w:val="none"/>
      </w:rPr>
    </w:lvl>
    <w:lvl w:ilvl="8" w:tentative="1">
      <w:start w:val="1"/>
      <w:numFmt w:val="decimal"/>
      <w:pStyle w:val="9"/>
      <w:suff w:val="space"/>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3E48"/>
    <w:rsid w:val="000E5CC6"/>
    <w:rsid w:val="0019517C"/>
    <w:rsid w:val="002E2ABC"/>
    <w:rsid w:val="003A738C"/>
    <w:rsid w:val="004D4210"/>
    <w:rsid w:val="00591BAA"/>
    <w:rsid w:val="00604B7D"/>
    <w:rsid w:val="00646749"/>
    <w:rsid w:val="0065724A"/>
    <w:rsid w:val="00671F05"/>
    <w:rsid w:val="006752E2"/>
    <w:rsid w:val="006936CF"/>
    <w:rsid w:val="008A58AA"/>
    <w:rsid w:val="0094428F"/>
    <w:rsid w:val="009E267E"/>
    <w:rsid w:val="009E562A"/>
    <w:rsid w:val="00AC5B9C"/>
    <w:rsid w:val="00B8771C"/>
    <w:rsid w:val="00C53530"/>
    <w:rsid w:val="00E007AF"/>
    <w:rsid w:val="00E63E48"/>
    <w:rsid w:val="00EB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62DE761-0BF6-412A-9AA5-59E31AEE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E48"/>
    <w:pPr>
      <w:widowControl w:val="0"/>
      <w:jc w:val="both"/>
    </w:pPr>
    <w:rPr>
      <w:rFonts w:ascii="Calibri" w:hAnsi="Calibri" w:cs="黑体"/>
      <w:kern w:val="2"/>
      <w:sz w:val="21"/>
      <w:szCs w:val="22"/>
    </w:rPr>
  </w:style>
  <w:style w:type="paragraph" w:styleId="2">
    <w:name w:val="heading 2"/>
    <w:basedOn w:val="a"/>
    <w:next w:val="a"/>
    <w:link w:val="20"/>
    <w:qFormat/>
    <w:rsid w:val="00E63E48"/>
    <w:pPr>
      <w:keepNext/>
      <w:keepLines/>
      <w:numPr>
        <w:ilvl w:val="1"/>
        <w:numId w:val="1"/>
      </w:numPr>
      <w:spacing w:before="240" w:after="120" w:line="360" w:lineRule="auto"/>
      <w:ind w:left="0"/>
      <w:jc w:val="left"/>
      <w:outlineLvl w:val="1"/>
    </w:pPr>
    <w:rPr>
      <w:rFonts w:ascii="Arial" w:eastAsia="黑体" w:hAnsi="Arial" w:cs="Times New Roman"/>
      <w:bCs/>
      <w:sz w:val="36"/>
      <w:szCs w:val="36"/>
    </w:rPr>
  </w:style>
  <w:style w:type="paragraph" w:styleId="3">
    <w:name w:val="heading 3"/>
    <w:basedOn w:val="a"/>
    <w:next w:val="a"/>
    <w:link w:val="30"/>
    <w:qFormat/>
    <w:rsid w:val="00E63E48"/>
    <w:pPr>
      <w:keepNext/>
      <w:keepLines/>
      <w:numPr>
        <w:ilvl w:val="2"/>
        <w:numId w:val="1"/>
      </w:numPr>
      <w:spacing w:beforeLines="100" w:afterLines="50" w:line="360" w:lineRule="auto"/>
      <w:jc w:val="left"/>
      <w:outlineLvl w:val="2"/>
    </w:pPr>
    <w:rPr>
      <w:rFonts w:ascii="Arial" w:eastAsia="黑体" w:hAnsi="Arial" w:cs="Times New Roman"/>
      <w:bCs/>
      <w:sz w:val="32"/>
      <w:szCs w:val="32"/>
    </w:rPr>
  </w:style>
  <w:style w:type="paragraph" w:styleId="4">
    <w:name w:val="heading 4"/>
    <w:basedOn w:val="a"/>
    <w:next w:val="a"/>
    <w:link w:val="40"/>
    <w:qFormat/>
    <w:rsid w:val="00E63E48"/>
    <w:pPr>
      <w:keepNext/>
      <w:keepLines/>
      <w:numPr>
        <w:ilvl w:val="3"/>
        <w:numId w:val="1"/>
      </w:numPr>
      <w:spacing w:beforeLines="50" w:afterLines="50" w:line="360" w:lineRule="auto"/>
      <w:jc w:val="left"/>
      <w:outlineLvl w:val="3"/>
    </w:pPr>
    <w:rPr>
      <w:rFonts w:ascii="Arial" w:eastAsia="黑体" w:hAnsi="Arial" w:cs="Times New Roman"/>
      <w:bCs/>
      <w:color w:val="000000"/>
      <w:sz w:val="30"/>
      <w:szCs w:val="28"/>
    </w:rPr>
  </w:style>
  <w:style w:type="paragraph" w:styleId="6">
    <w:name w:val="heading 6"/>
    <w:basedOn w:val="a"/>
    <w:next w:val="a"/>
    <w:link w:val="60"/>
    <w:qFormat/>
    <w:rsid w:val="00E63E48"/>
    <w:pPr>
      <w:keepNext/>
      <w:keepLines/>
      <w:numPr>
        <w:ilvl w:val="5"/>
        <w:numId w:val="1"/>
      </w:numPr>
      <w:spacing w:before="240" w:after="64" w:line="320" w:lineRule="auto"/>
      <w:outlineLvl w:val="5"/>
    </w:pPr>
    <w:rPr>
      <w:rFonts w:ascii="Arial" w:eastAsia="黑体" w:hAnsi="Arial" w:cs="Times New Roman"/>
      <w:b/>
      <w:bCs/>
      <w:sz w:val="24"/>
      <w:szCs w:val="20"/>
    </w:rPr>
  </w:style>
  <w:style w:type="paragraph" w:styleId="7">
    <w:name w:val="heading 7"/>
    <w:basedOn w:val="a"/>
    <w:next w:val="a"/>
    <w:link w:val="70"/>
    <w:qFormat/>
    <w:rsid w:val="00E63E48"/>
    <w:pPr>
      <w:keepNext/>
      <w:keepLines/>
      <w:numPr>
        <w:ilvl w:val="6"/>
        <w:numId w:val="1"/>
      </w:numPr>
      <w:spacing w:before="240" w:after="64" w:line="320" w:lineRule="auto"/>
      <w:outlineLvl w:val="6"/>
    </w:pPr>
    <w:rPr>
      <w:rFonts w:ascii="Arial" w:hAnsi="Arial" w:cs="Times New Roman"/>
      <w:b/>
      <w:bCs/>
      <w:sz w:val="24"/>
      <w:szCs w:val="24"/>
      <w:lang w:eastAsia="en-US"/>
    </w:rPr>
  </w:style>
  <w:style w:type="paragraph" w:styleId="8">
    <w:name w:val="heading 8"/>
    <w:basedOn w:val="a"/>
    <w:next w:val="a"/>
    <w:link w:val="80"/>
    <w:qFormat/>
    <w:rsid w:val="00E63E48"/>
    <w:pPr>
      <w:keepNext/>
      <w:keepLines/>
      <w:numPr>
        <w:ilvl w:val="7"/>
        <w:numId w:val="1"/>
      </w:numPr>
      <w:spacing w:before="240" w:after="64" w:line="320" w:lineRule="auto"/>
      <w:outlineLvl w:val="7"/>
    </w:pPr>
    <w:rPr>
      <w:rFonts w:ascii="Cambria" w:hAnsi="Cambria" w:cs="Times New Roman"/>
      <w:sz w:val="24"/>
      <w:szCs w:val="24"/>
      <w:lang w:eastAsia="en-US"/>
    </w:rPr>
  </w:style>
  <w:style w:type="paragraph" w:styleId="9">
    <w:name w:val="heading 9"/>
    <w:basedOn w:val="a"/>
    <w:next w:val="a"/>
    <w:link w:val="90"/>
    <w:qFormat/>
    <w:rsid w:val="00E63E48"/>
    <w:pPr>
      <w:keepNext/>
      <w:keepLines/>
      <w:numPr>
        <w:ilvl w:val="8"/>
        <w:numId w:val="1"/>
      </w:numPr>
      <w:spacing w:before="240" w:after="64" w:line="320" w:lineRule="auto"/>
      <w:outlineLvl w:val="8"/>
    </w:pPr>
    <w:rPr>
      <w:rFonts w:ascii="Cambria" w:hAnsi="Cambria" w:cs="Times New Roman"/>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3E48"/>
    <w:pPr>
      <w:tabs>
        <w:tab w:val="center" w:pos="4153"/>
        <w:tab w:val="right" w:pos="8306"/>
      </w:tabs>
      <w:snapToGrid w:val="0"/>
      <w:jc w:val="left"/>
    </w:pPr>
    <w:rPr>
      <w:sz w:val="18"/>
      <w:szCs w:val="18"/>
    </w:rPr>
  </w:style>
  <w:style w:type="paragraph" w:styleId="a5">
    <w:name w:val="header"/>
    <w:basedOn w:val="a"/>
    <w:link w:val="a6"/>
    <w:uiPriority w:val="99"/>
    <w:unhideWhenUsed/>
    <w:rsid w:val="00E63E48"/>
    <w:pPr>
      <w:pBdr>
        <w:bottom w:val="single" w:sz="6" w:space="1" w:color="auto"/>
      </w:pBdr>
      <w:tabs>
        <w:tab w:val="center" w:pos="4153"/>
        <w:tab w:val="right" w:pos="8306"/>
      </w:tabs>
      <w:snapToGrid w:val="0"/>
      <w:jc w:val="center"/>
    </w:pPr>
    <w:rPr>
      <w:sz w:val="18"/>
      <w:szCs w:val="18"/>
    </w:rPr>
  </w:style>
  <w:style w:type="paragraph" w:customStyle="1" w:styleId="0">
    <w:name w:val="样式 首行缩进:  0 字符"/>
    <w:basedOn w:val="a"/>
    <w:link w:val="0Char"/>
    <w:qFormat/>
    <w:rsid w:val="00E63E48"/>
    <w:pPr>
      <w:spacing w:line="360" w:lineRule="auto"/>
      <w:ind w:firstLineChars="200" w:firstLine="200"/>
    </w:pPr>
    <w:rPr>
      <w:rFonts w:ascii="Arial" w:hAnsi="Arial" w:cs="Times New Roman"/>
      <w:sz w:val="24"/>
      <w:szCs w:val="20"/>
    </w:rPr>
  </w:style>
  <w:style w:type="character" w:customStyle="1" w:styleId="a6">
    <w:name w:val="页眉 字符"/>
    <w:basedOn w:val="a0"/>
    <w:link w:val="a5"/>
    <w:uiPriority w:val="99"/>
    <w:rsid w:val="00E63E48"/>
    <w:rPr>
      <w:sz w:val="18"/>
      <w:szCs w:val="18"/>
    </w:rPr>
  </w:style>
  <w:style w:type="character" w:customStyle="1" w:styleId="a4">
    <w:name w:val="页脚 字符"/>
    <w:basedOn w:val="a0"/>
    <w:link w:val="a3"/>
    <w:uiPriority w:val="99"/>
    <w:rsid w:val="00E63E48"/>
    <w:rPr>
      <w:sz w:val="18"/>
      <w:szCs w:val="18"/>
    </w:rPr>
  </w:style>
  <w:style w:type="character" w:customStyle="1" w:styleId="2Char">
    <w:name w:val="标题 2 Char"/>
    <w:basedOn w:val="a0"/>
    <w:uiPriority w:val="9"/>
    <w:semiHidden/>
    <w:rsid w:val="00E63E48"/>
    <w:rPr>
      <w:rFonts w:ascii="Cambria" w:eastAsia="宋体" w:hAnsi="Cambria" w:cs="黑体"/>
      <w:b/>
      <w:bCs/>
      <w:sz w:val="32"/>
      <w:szCs w:val="32"/>
    </w:rPr>
  </w:style>
  <w:style w:type="character" w:customStyle="1" w:styleId="30">
    <w:name w:val="标题 3 字符"/>
    <w:basedOn w:val="a0"/>
    <w:link w:val="3"/>
    <w:rsid w:val="00E63E48"/>
    <w:rPr>
      <w:rFonts w:ascii="Arial" w:eastAsia="黑体" w:hAnsi="Arial" w:cs="Times New Roman"/>
      <w:bCs/>
      <w:sz w:val="32"/>
      <w:szCs w:val="32"/>
    </w:rPr>
  </w:style>
  <w:style w:type="character" w:customStyle="1" w:styleId="40">
    <w:name w:val="标题 4 字符"/>
    <w:basedOn w:val="a0"/>
    <w:link w:val="4"/>
    <w:qFormat/>
    <w:rsid w:val="00E63E48"/>
    <w:rPr>
      <w:rFonts w:ascii="Arial" w:eastAsia="黑体" w:hAnsi="Arial" w:cs="Times New Roman"/>
      <w:bCs/>
      <w:color w:val="000000"/>
      <w:sz w:val="30"/>
      <w:szCs w:val="28"/>
    </w:rPr>
  </w:style>
  <w:style w:type="character" w:customStyle="1" w:styleId="60">
    <w:name w:val="标题 6 字符"/>
    <w:basedOn w:val="a0"/>
    <w:link w:val="6"/>
    <w:rsid w:val="00E63E48"/>
    <w:rPr>
      <w:rFonts w:ascii="Arial" w:eastAsia="黑体" w:hAnsi="Arial" w:cs="Times New Roman"/>
      <w:b/>
      <w:bCs/>
      <w:sz w:val="24"/>
      <w:szCs w:val="20"/>
    </w:rPr>
  </w:style>
  <w:style w:type="character" w:customStyle="1" w:styleId="70">
    <w:name w:val="标题 7 字符"/>
    <w:basedOn w:val="a0"/>
    <w:link w:val="7"/>
    <w:rsid w:val="00E63E48"/>
    <w:rPr>
      <w:rFonts w:ascii="Arial" w:eastAsia="宋体" w:hAnsi="Arial" w:cs="Times New Roman"/>
      <w:b/>
      <w:bCs/>
      <w:sz w:val="24"/>
      <w:szCs w:val="24"/>
      <w:lang w:eastAsia="en-US"/>
    </w:rPr>
  </w:style>
  <w:style w:type="character" w:customStyle="1" w:styleId="80">
    <w:name w:val="标题 8 字符"/>
    <w:basedOn w:val="a0"/>
    <w:link w:val="8"/>
    <w:qFormat/>
    <w:rsid w:val="00E63E48"/>
    <w:rPr>
      <w:rFonts w:ascii="Cambria" w:eastAsia="宋体" w:hAnsi="Cambria" w:cs="Times New Roman"/>
      <w:sz w:val="24"/>
      <w:szCs w:val="24"/>
      <w:lang w:eastAsia="en-US"/>
    </w:rPr>
  </w:style>
  <w:style w:type="character" w:customStyle="1" w:styleId="90">
    <w:name w:val="标题 9 字符"/>
    <w:basedOn w:val="a0"/>
    <w:link w:val="9"/>
    <w:rsid w:val="00E63E48"/>
    <w:rPr>
      <w:rFonts w:ascii="Cambria" w:eastAsia="宋体" w:hAnsi="Cambria" w:cs="Times New Roman"/>
      <w:szCs w:val="21"/>
      <w:lang w:eastAsia="en-US"/>
    </w:rPr>
  </w:style>
  <w:style w:type="character" w:customStyle="1" w:styleId="20">
    <w:name w:val="标题 2 字符"/>
    <w:link w:val="2"/>
    <w:qFormat/>
    <w:rsid w:val="00E63E48"/>
    <w:rPr>
      <w:rFonts w:ascii="Arial" w:eastAsia="黑体" w:hAnsi="Arial" w:cs="Times New Roman"/>
      <w:bCs/>
      <w:sz w:val="36"/>
      <w:szCs w:val="36"/>
    </w:rPr>
  </w:style>
  <w:style w:type="character" w:customStyle="1" w:styleId="0Char">
    <w:name w:val="样式 首行缩进:  0 字符 Char"/>
    <w:link w:val="0"/>
    <w:qFormat/>
    <w:rsid w:val="00E63E48"/>
    <w:rPr>
      <w:rFonts w:ascii="Arial" w:eastAsia="宋体" w:hAnsi="Arial" w:cs="Times New Roman"/>
      <w:sz w:val="24"/>
      <w:szCs w:val="20"/>
    </w:rPr>
  </w:style>
  <w:style w:type="paragraph" w:styleId="a7">
    <w:name w:val="Balloon Text"/>
    <w:basedOn w:val="a"/>
    <w:link w:val="a8"/>
    <w:semiHidden/>
    <w:unhideWhenUsed/>
    <w:rsid w:val="00646749"/>
    <w:rPr>
      <w:sz w:val="18"/>
      <w:szCs w:val="18"/>
    </w:rPr>
  </w:style>
  <w:style w:type="character" w:customStyle="1" w:styleId="a8">
    <w:name w:val="批注框文本 字符"/>
    <w:basedOn w:val="a0"/>
    <w:link w:val="a7"/>
    <w:semiHidden/>
    <w:rsid w:val="00646749"/>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265</Words>
  <Characters>1512</Characters>
  <Application>Microsoft Office Word</Application>
  <DocSecurity>0</DocSecurity>
  <Lines>12</Lines>
  <Paragraphs>3</Paragraphs>
  <ScaleCrop>false</ScaleCrop>
  <Company>P R C</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无锡市公共安全视频图像信息联网</dc:title>
  <dc:creator>GYW</dc:creator>
  <cp:lastModifiedBy>大数据管理支队</cp:lastModifiedBy>
  <cp:revision>10</cp:revision>
  <cp:lastPrinted>2021-02-09T02:20:00Z</cp:lastPrinted>
  <dcterms:created xsi:type="dcterms:W3CDTF">2021-02-09T01:10:00Z</dcterms:created>
  <dcterms:modified xsi:type="dcterms:W3CDTF">2021-03-08T00:55:00Z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