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无锡市专业技术人员公共科目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继续教育培训考核操作指南</w:t>
      </w:r>
    </w:p>
    <w:p>
      <w:pPr>
        <w:spacing w:line="560" w:lineRule="exact"/>
        <w:ind w:left="560" w:left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560" w:left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一、登录方式</w:t>
      </w:r>
    </w:p>
    <w:p>
      <w:pPr>
        <w:ind w:left="560" w:leftChars="200"/>
        <w:jc w:val="left"/>
        <w:rPr>
          <w:rFonts w:ascii="Times New Roman" w:hAnsi="Times New Roman" w:eastAsia="仿宋" w:cs="Times New Roman"/>
          <w:color w:val="FF000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学员登录“无锡市人力资源和社会保障局网站”（网址：</w:t>
      </w:r>
      <w:r>
        <w:fldChar w:fldCharType="begin"/>
      </w:r>
      <w:r>
        <w:instrText xml:space="preserve"> HYPERLINK "http://lss.wuxi.gov.cn/" </w:instrText>
      </w:r>
      <w:r>
        <w:fldChar w:fldCharType="separate"/>
      </w:r>
      <w:r>
        <w:rPr>
          <w:rFonts w:ascii="Times New Roman" w:hAnsi="Times New Roman" w:eastAsia="仿宋" w:cs="Times New Roman"/>
          <w:color w:val="0000FF"/>
          <w:sz w:val="32"/>
          <w:szCs w:val="32"/>
          <w:u w:val="single"/>
        </w:rPr>
        <w:t>http://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u w:val="single"/>
        </w:rPr>
        <w:t>hr</w:t>
      </w:r>
      <w:r>
        <w:rPr>
          <w:rFonts w:ascii="Times New Roman" w:hAnsi="Times New Roman" w:eastAsia="仿宋" w:cs="Times New Roman"/>
          <w:color w:val="0000FF"/>
          <w:sz w:val="32"/>
          <w:szCs w:val="32"/>
          <w:u w:val="single"/>
        </w:rPr>
        <w:t>ss.wuxi.gov.cn/</w:t>
      </w:r>
      <w:r>
        <w:rPr>
          <w:rFonts w:ascii="Times New Roman" w:hAnsi="Times New Roman" w:eastAsia="仿宋" w:cs="Times New Roman"/>
          <w:color w:val="0000FF"/>
          <w:sz w:val="32"/>
          <w:szCs w:val="32"/>
          <w:u w:val="single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），点击“专题专栏”中的“</w:t>
      </w:r>
      <w:r>
        <w:rPr>
          <w:rFonts w:hint="eastAsia" w:ascii="Times New Roman" w:hAnsi="Times New Roman" w:eastAsia="仿宋" w:cs="Times New Roman"/>
          <w:sz w:val="32"/>
          <w:szCs w:val="32"/>
        </w:rPr>
        <w:t>人才服务中心专栏</w:t>
      </w:r>
      <w:r>
        <w:rPr>
          <w:rFonts w:ascii="Times New Roman" w:hAnsi="Times New Roman" w:eastAsia="仿宋" w:cs="Times New Roman"/>
          <w:sz w:val="32"/>
          <w:szCs w:val="32"/>
        </w:rPr>
        <w:t>”（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u w:val="single"/>
        </w:rPr>
        <w:t>http://hrss.wuxi.gov.cn/ztzl/newrcfwzxzl/index.shtml</w:t>
      </w:r>
      <w:r>
        <w:rPr>
          <w:rFonts w:ascii="Times New Roman" w:hAnsi="Times New Roman" w:eastAsia="仿宋" w:cs="Times New Roman"/>
          <w:sz w:val="32"/>
          <w:szCs w:val="32"/>
        </w:rPr>
        <w:t>），出现如下图页面:</w:t>
      </w:r>
    </w:p>
    <w:p>
      <w:pPr>
        <w:widowControl/>
        <w:jc w:val="center"/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drawing>
          <wp:inline distT="0" distB="0" distL="114300" distR="114300">
            <wp:extent cx="4056380" cy="2460625"/>
            <wp:effectExtent l="0" t="0" r="1270" b="15875"/>
            <wp:docPr id="10" name="图片 10" descr="16473090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4730904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</w:pPr>
      <w:r>
        <w:rPr>
          <w:rFonts w:ascii="Times New Roman" w:hAnsi="Times New Roman" w:eastAsia="仿宋" w:cs="Times New Roman"/>
          <w:sz w:val="32"/>
          <w:szCs w:val="32"/>
        </w:rPr>
        <w:t>点击“专技人员继续教育”。也可</w:t>
      </w:r>
      <w:r>
        <w:rPr>
          <w:rFonts w:hint="eastAsia" w:ascii="Times New Roman" w:hAnsi="Times New Roman" w:eastAsia="仿宋" w:cs="Times New Roman"/>
          <w:sz w:val="32"/>
          <w:szCs w:val="32"/>
        </w:rPr>
        <w:t>直接</w:t>
      </w:r>
      <w:r>
        <w:rPr>
          <w:rFonts w:ascii="Times New Roman" w:hAnsi="Times New Roman" w:eastAsia="仿宋" w:cs="Times New Roman"/>
          <w:sz w:val="32"/>
          <w:szCs w:val="32"/>
        </w:rPr>
        <w:t>登录：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u w:val="single"/>
        </w:rPr>
        <w:t>http://hrss.wuxi.gov.cn/fzlm/zyjsryjxjy/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(建议使用360安全浏览器的兼容模式登录）</w:t>
      </w:r>
      <w:r>
        <w:rPr>
          <w:rFonts w:ascii="Times New Roman" w:hAnsi="Times New Roman" w:eastAsia="仿宋" w:cs="Times New Roman"/>
          <w:sz w:val="32"/>
          <w:szCs w:val="32"/>
        </w:rPr>
        <w:t>。首次登录此平台的均需注册。注册后方可登录平台进行选课、学习、考试、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下载电子讲义</w:t>
      </w:r>
      <w:r>
        <w:rPr>
          <w:rFonts w:ascii="Times New Roman" w:hAnsi="Times New Roman" w:eastAsia="仿宋" w:cs="Times New Roman"/>
          <w:sz w:val="32"/>
          <w:szCs w:val="32"/>
        </w:rPr>
        <w:t>、证书查询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及证书打印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等。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说明：</w:t>
      </w:r>
    </w:p>
    <w:p>
      <w:pPr>
        <w:tabs>
          <w:tab w:val="left" w:pos="312"/>
        </w:tabs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1.第一次登录此平台的学员都需要注册，注册成功后，可登录学习平台选课学习。对于以往参加过第五、六轮继续教育公修课培训的学员，系统会自动调取以往的成绩信息。</w:t>
      </w:r>
    </w:p>
    <w:p>
      <w:pPr>
        <w:tabs>
          <w:tab w:val="left" w:pos="312"/>
        </w:tabs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2.注册账号一律用身份证号。</w:t>
      </w:r>
    </w:p>
    <w:p>
      <w:pPr>
        <w:tabs>
          <w:tab w:val="left" w:pos="312"/>
        </w:tabs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3.选课、学习及考试操作：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（1）登录系统后在“学习课程”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552450" cy="22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中选择规定的课程进行学习，按照系统指示的流程逐步操作；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（2）选课结束后，返回“学习课程”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533400" cy="209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，点击“视频学习”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514350" cy="266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进入视频学习页面进行在线学习。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（3）视频学习进度达到90%后系统开放考试，点击“在线考试”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619125" cy="209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进入考试页面，在规定时间内完成考试，系统根据考核情况自动判断是否合格或者补考。</w:t>
      </w:r>
    </w:p>
    <w:p>
      <w:pPr>
        <w:ind w:firstLine="640" w:firstLineChars="200"/>
        <w:rPr>
          <w:rFonts w:ascii="Times New Roman" w:hAnsi="Times New Roman" w:eastAsia="仿宋" w:cs="Times New Roman"/>
          <w:color w:val="FF000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（4）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下载电子讲义</w:t>
      </w:r>
      <w:r>
        <w:rPr>
          <w:rFonts w:ascii="Times New Roman" w:hAnsi="Times New Roman" w:eastAsia="仿宋" w:cs="Times New Roman"/>
          <w:sz w:val="32"/>
          <w:szCs w:val="32"/>
        </w:rPr>
        <w:t>。学员根据需要自行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下载电子讲义</w:t>
      </w:r>
      <w:r>
        <w:rPr>
          <w:rFonts w:ascii="Times New Roman" w:hAnsi="Times New Roman" w:eastAsia="仿宋" w:cs="Times New Roman"/>
          <w:sz w:val="32"/>
          <w:szCs w:val="32"/>
        </w:rPr>
        <w:t>，点击“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学习课程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533400" cy="2095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后在打开的页面中根据需要，选择相应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的课程</w:t>
      </w:r>
      <w:r>
        <w:rPr>
          <w:rFonts w:ascii="Times New Roman" w:hAnsi="Times New Roman" w:eastAsia="仿宋" w:cs="Times New Roman"/>
          <w:sz w:val="32"/>
          <w:szCs w:val="32"/>
        </w:rPr>
        <w:t>点击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“下载电子讲义”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942975" cy="190500"/>
            <wp:effectExtent l="0" t="0" r="9525" b="0"/>
            <wp:docPr id="12" name="图片 12" descr="16473097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4730972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按钮，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链接自动跳转到我局官网的“下载中心”右击目标文件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828675" cy="228600"/>
            <wp:effectExtent l="0" t="0" r="9525" b="0"/>
            <wp:docPr id="13" name="图片 13" descr="16473099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47309940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选择“链接另存为即可下载到自己的电脑里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color w:val="FF000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（5）考试成绩及证书查询。每科目考核后，可以在“证书查询”</w:t>
      </w: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695325" cy="2190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sz w:val="32"/>
          <w:szCs w:val="32"/>
        </w:rPr>
        <w:t>查询成绩及打印合格证书。</w:t>
      </w:r>
    </w:p>
    <w:p>
      <w:pPr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二、参加网络远程教育的个人电脑最低配置</w:t>
      </w:r>
    </w:p>
    <w:p>
      <w:pPr>
        <w:ind w:left="748" w:leftChars="267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（一）软硬件配置：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内</w:t>
      </w:r>
      <w:r>
        <w:rPr>
          <w:rFonts w:ascii="Times New Roman" w:hAnsi="Times New Roman" w:cs="Times New Roman"/>
          <w:sz w:val="32"/>
          <w:szCs w:val="32"/>
        </w:rPr>
        <w:t>   </w:t>
      </w:r>
      <w:r>
        <w:rPr>
          <w:rFonts w:ascii="Times New Roman" w:hAnsi="Times New Roman" w:eastAsia="仿宋" w:cs="Times New Roman"/>
          <w:sz w:val="32"/>
          <w:szCs w:val="32"/>
        </w:rPr>
        <w:t>存：8G以上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操作系统：Win7及以上　　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浏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览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器：IE8.0以上。推荐IE11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声</w:t>
      </w:r>
      <w:r>
        <w:rPr>
          <w:rFonts w:ascii="Times New Roman" w:hAnsi="Times New Roman" w:cs="Times New Roman"/>
          <w:sz w:val="32"/>
          <w:szCs w:val="32"/>
        </w:rPr>
        <w:t>   </w:t>
      </w:r>
      <w:r>
        <w:rPr>
          <w:rFonts w:ascii="Times New Roman" w:hAnsi="Times New Roman" w:eastAsia="仿宋" w:cs="Times New Roman"/>
          <w:sz w:val="32"/>
          <w:szCs w:val="32"/>
        </w:rPr>
        <w:t>卡：推荐使用全双工声卡，并配有音箱或耳机。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（二）互联网接入方式及带宽：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个人电脑接入互联网方式：ADSL接入、局域网或宽带LAN接入方式均可。宽带最好保障在2M以上。</w:t>
      </w:r>
      <w:r>
        <w:rPr>
          <w:rFonts w:ascii="Times New Roman" w:hAnsi="Times New Roman" w:cs="Times New Roman"/>
          <w:sz w:val="32"/>
          <w:szCs w:val="32"/>
        </w:rPr>
        <w:t> 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280322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2728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8"/>
    <w:rsid w:val="00275B03"/>
    <w:rsid w:val="003023A6"/>
    <w:rsid w:val="00330C5B"/>
    <w:rsid w:val="00504764"/>
    <w:rsid w:val="0064790D"/>
    <w:rsid w:val="00813227"/>
    <w:rsid w:val="00860AC7"/>
    <w:rsid w:val="00946977"/>
    <w:rsid w:val="00982240"/>
    <w:rsid w:val="00BA7548"/>
    <w:rsid w:val="00C0402C"/>
    <w:rsid w:val="00DD6729"/>
    <w:rsid w:val="00E84AE7"/>
    <w:rsid w:val="00EE36C8"/>
    <w:rsid w:val="00F202C2"/>
    <w:rsid w:val="00F36121"/>
    <w:rsid w:val="00F84C34"/>
    <w:rsid w:val="00F90F92"/>
    <w:rsid w:val="28BF3CB9"/>
    <w:rsid w:val="4352212B"/>
    <w:rsid w:val="4A7E4FDF"/>
    <w:rsid w:val="548A1F97"/>
    <w:rsid w:val="5F0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136</Words>
  <Characters>778</Characters>
  <Lines>6</Lines>
  <Paragraphs>1</Paragraphs>
  <TotalTime>18</TotalTime>
  <ScaleCrop>false</ScaleCrop>
  <LinksUpToDate>false</LinksUpToDate>
  <CharactersWithSpaces>913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2018-01-26T09:05:00Z</dcterms:created>
  <dc:creator>郭蓓燕</dc:creator>
  <cp:lastModifiedBy>Administrator</cp:lastModifiedBy>
  <dcterms:modified xsi:type="dcterms:W3CDTF">2022-03-15T02:19:09Z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