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FF" w:rsidRDefault="003466FF">
      <w:pPr>
        <w:widowControl/>
        <w:tabs>
          <w:tab w:val="left" w:pos="6660"/>
        </w:tabs>
        <w:spacing w:line="1985" w:lineRule="exact"/>
        <w:jc w:val="distribute"/>
        <w:rPr>
          <w:rStyle w:val="a5"/>
          <w:rFonts w:ascii="方正大标宋简体" w:eastAsia="方正大标宋简体" w:hAnsi="华文中宋"/>
          <w:b w:val="0"/>
          <w:sz w:val="72"/>
          <w:szCs w:val="72"/>
        </w:rPr>
      </w:pPr>
    </w:p>
    <w:p w:rsidR="003466FF" w:rsidRDefault="00E33847">
      <w:pPr>
        <w:widowControl/>
        <w:spacing w:line="900" w:lineRule="exact"/>
        <w:jc w:val="distribute"/>
        <w:rPr>
          <w:rStyle w:val="a5"/>
          <w:rFonts w:ascii="方正大标宋简体" w:eastAsia="方正大标宋简体" w:hAnsi="华文中宋"/>
          <w:b w:val="0"/>
          <w:color w:val="FF0000"/>
          <w:spacing w:val="-20"/>
          <w:w w:val="95"/>
          <w:sz w:val="84"/>
          <w:szCs w:val="84"/>
        </w:rPr>
      </w:pPr>
      <w:r>
        <w:rPr>
          <w:rStyle w:val="a5"/>
          <w:rFonts w:ascii="方正大标宋简体" w:eastAsia="方正大标宋简体" w:hAnsi="华文中宋" w:hint="eastAsia"/>
          <w:b w:val="0"/>
          <w:color w:val="FF0000"/>
          <w:spacing w:val="-20"/>
          <w:w w:val="95"/>
          <w:sz w:val="84"/>
          <w:szCs w:val="84"/>
        </w:rPr>
        <w:t>共青团无锡市委员会文件</w:t>
      </w:r>
    </w:p>
    <w:p w:rsidR="003466FF" w:rsidRDefault="003466FF">
      <w:pPr>
        <w:widowControl/>
        <w:spacing w:line="440" w:lineRule="exact"/>
        <w:jc w:val="distribute"/>
        <w:rPr>
          <w:rFonts w:ascii="华文中宋" w:eastAsia="华文中宋" w:hAnsi="华文中宋"/>
          <w:bCs/>
          <w:spacing w:val="-20"/>
          <w:sz w:val="72"/>
          <w:szCs w:val="72"/>
        </w:rPr>
      </w:pPr>
    </w:p>
    <w:p w:rsidR="003466FF" w:rsidRDefault="003466FF">
      <w:pPr>
        <w:widowControl/>
        <w:spacing w:line="440" w:lineRule="exact"/>
        <w:jc w:val="distribute"/>
        <w:rPr>
          <w:rFonts w:ascii="华文中宋" w:eastAsia="华文中宋" w:hAnsi="华文中宋"/>
          <w:bCs/>
          <w:sz w:val="72"/>
          <w:szCs w:val="72"/>
        </w:rPr>
      </w:pPr>
    </w:p>
    <w:p w:rsidR="003466FF" w:rsidRDefault="00E33847" w:rsidP="00107503">
      <w:pPr>
        <w:spacing w:beforeLines="100" w:before="312" w:line="400" w:lineRule="exact"/>
        <w:jc w:val="center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团锡委</w:t>
      </w:r>
      <w:proofErr w:type="gramEnd"/>
      <w:r>
        <w:rPr>
          <w:rFonts w:ascii="仿宋_GB2312" w:eastAsia="仿宋_GB2312" w:hint="eastAsia"/>
          <w:sz w:val="32"/>
        </w:rPr>
        <w:t>发〔2017〕</w:t>
      </w:r>
      <w:r w:rsidR="00107503">
        <w:rPr>
          <w:rFonts w:ascii="仿宋_GB2312" w:eastAsia="仿宋_GB2312" w:hint="eastAsia"/>
          <w:sz w:val="32"/>
        </w:rPr>
        <w:t>42</w:t>
      </w:r>
      <w:r>
        <w:rPr>
          <w:rFonts w:ascii="仿宋_GB2312" w:eastAsia="仿宋_GB2312" w:hint="eastAsia"/>
          <w:sz w:val="32"/>
        </w:rPr>
        <w:t>号</w:t>
      </w:r>
    </w:p>
    <w:p w:rsidR="003466FF" w:rsidRDefault="00E33847">
      <w:pPr>
        <w:spacing w:line="500" w:lineRule="exact"/>
        <w:ind w:rightChars="-55" w:right="-115"/>
        <w:rPr>
          <w:rFonts w:ascii="宋体" w:hAnsi="宋体"/>
          <w:snapToGrid w:val="0"/>
          <w:kern w:val="0"/>
          <w:sz w:val="44"/>
        </w:rPr>
      </w:pPr>
      <w:r>
        <w:rPr>
          <w:rFonts w:ascii="仿宋_GB2312" w:eastAsia="仿宋_GB2312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615940" cy="0"/>
                <wp:effectExtent l="0" t="15875" r="3810" b="222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2" o:spid="_x0000_s1026" o:spt="20" style="position:absolute;left:0pt;margin-left:0pt;margin-top:17.65pt;height:0pt;width:442.2pt;z-index:251658240;mso-width-relative:page;mso-height-relative:page;" filled="f" stroked="t" coordsize="21600,21600" o:gfxdata="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0z4DdYAAAAGAQAADwAAAAAAAAABACAAAAAiAAAA&#10;ZHJzL2Rvd25yZXYueG1sUEsBAhQAFAAAAAgAh07iQIH16ynQAQAAjgMAAA4AAAAAAAAAAQAgAAAA&#10;JQEAAGRycy9lMm9Eb2MueG1sUEsFBgAAAAAGAAYAWQEAAGc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3466FF" w:rsidRDefault="003466FF">
      <w:pPr>
        <w:spacing w:line="660" w:lineRule="exact"/>
        <w:jc w:val="center"/>
        <w:rPr>
          <w:rFonts w:ascii="仿宋_GB2312" w:eastAsia="仿宋_GB2312"/>
          <w:sz w:val="32"/>
        </w:rPr>
      </w:pPr>
    </w:p>
    <w:p w:rsidR="003466FF" w:rsidRPr="00107503" w:rsidRDefault="00E33847" w:rsidP="00107503">
      <w:pPr>
        <w:spacing w:line="6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07503">
        <w:rPr>
          <w:rFonts w:ascii="方正小标宋简体" w:eastAsia="方正小标宋简体" w:hAnsi="Times New Roman" w:cs="Times New Roman" w:hint="eastAsia"/>
          <w:sz w:val="44"/>
          <w:szCs w:val="44"/>
        </w:rPr>
        <w:t>关于组织开展2018年全市“共青团与人大代表、政协委员面对面”活动的通知</w:t>
      </w:r>
    </w:p>
    <w:p w:rsidR="003466FF" w:rsidRPr="00107503" w:rsidRDefault="003466FF" w:rsidP="0010750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466FF" w:rsidRPr="00107503" w:rsidRDefault="00E33847" w:rsidP="00107503">
      <w:pPr>
        <w:spacing w:line="600" w:lineRule="exact"/>
        <w:rPr>
          <w:rFonts w:ascii="楷体_GB2312" w:eastAsia="楷体_GB2312" w:hAnsi="Times New Roman" w:cs="Times New Roman"/>
          <w:color w:val="000000" w:themeColor="text1"/>
          <w:sz w:val="32"/>
          <w:szCs w:val="32"/>
        </w:rPr>
      </w:pPr>
      <w:r w:rsidRPr="00107503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各市（县）、区团委：</w:t>
      </w:r>
    </w:p>
    <w:p w:rsidR="003466FF" w:rsidRPr="00107503" w:rsidRDefault="00E33847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为深入贯彻中央党的群团工作会议、《中共中央关于加强和改进党的群团工作的意见》精神，按照团省委《关于组织开展2018年全省“共青团与人大代表、政协委员面对面”活动的通知》（</w:t>
      </w:r>
      <w:proofErr w:type="gramStart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团苏委电</w:t>
      </w:r>
      <w:proofErr w:type="gramEnd"/>
      <w:r w:rsidR="00107503">
        <w:rPr>
          <w:rFonts w:ascii="仿宋_GB2312" w:eastAsia="仿宋_GB2312" w:hint="eastAsia"/>
          <w:sz w:val="32"/>
        </w:rPr>
        <w:t>〔2017〕</w:t>
      </w: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69号）要求，在深入推进共青团改革过程中充分发挥桥梁和纽带作用、做好协商代言工作，通过人大、政协等制度化渠道代表和反映青年利益诉求、维护青年发展性权益，现就统一开展2018年全市“共青团与人大代表、政协委员</w:t>
      </w: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面对面”活动（以下简称“面对面”活动）有关事项通知如下。</w:t>
      </w:r>
    </w:p>
    <w:p w:rsidR="003466FF" w:rsidRPr="00E51AF9" w:rsidRDefault="00E33847" w:rsidP="00107503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 w:rsidRPr="00E51AF9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活动主题</w:t>
      </w:r>
    </w:p>
    <w:p w:rsidR="003466FF" w:rsidRPr="00107503" w:rsidRDefault="00E33847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“面对面”活动主题方向：拓宽</w:t>
      </w:r>
      <w:proofErr w:type="gramStart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新兴青年</w:t>
      </w:r>
      <w:proofErr w:type="gramEnd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群体的社会参与渠道。</w:t>
      </w:r>
    </w:p>
    <w:p w:rsidR="003466FF" w:rsidRPr="00107503" w:rsidRDefault="00E33847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各市（县）、区团委可围绕参考主题方向（附件1），立足地方实际，结合共青团自身职能，从小处着眼确定本级活动主题。</w:t>
      </w:r>
    </w:p>
    <w:p w:rsidR="003466FF" w:rsidRPr="00E51AF9" w:rsidRDefault="00E33847" w:rsidP="00107503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 w:rsidRPr="00E51AF9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活动要求</w:t>
      </w:r>
    </w:p>
    <w:p w:rsidR="003466FF" w:rsidRPr="00107503" w:rsidRDefault="00E33847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各市（县）、区要严格按照活动名称统一（“共青团与人大代表、政协委员面对面”活动，简称“面对面”活动）、活动主题统一、活动时间</w:t>
      </w:r>
      <w:proofErr w:type="gramStart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段统一</w:t>
      </w:r>
      <w:proofErr w:type="gramEnd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的“三统一”要求，100%全面组织开展“面对面”集中活动，根据</w:t>
      </w:r>
      <w:proofErr w:type="gramStart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新兴青年</w:t>
      </w:r>
      <w:proofErr w:type="gramEnd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群体社会参与存在的问题和困难形成切实可行的政策建议，拓宽</w:t>
      </w:r>
      <w:proofErr w:type="gramStart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新兴青年</w:t>
      </w:r>
      <w:proofErr w:type="gramEnd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群体的社会参与渠道。</w:t>
      </w:r>
    </w:p>
    <w:p w:rsidR="003466FF" w:rsidRPr="00E51AF9" w:rsidRDefault="00E33847" w:rsidP="00107503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 w:rsidRPr="00E51AF9"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工作安排</w:t>
      </w:r>
    </w:p>
    <w:p w:rsidR="003466FF" w:rsidRPr="00107503" w:rsidRDefault="00E33847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7E296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1</w:t>
      </w:r>
      <w:r w:rsidR="00E51AF9" w:rsidRPr="007E296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．</w:t>
      </w:r>
      <w:r w:rsidRPr="007E296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2017年11月上报专题调研报告。</w:t>
      </w: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组织邀请共青团和青联界别政协委员、政府相关职能部门以及其他关心青少年事务的人大代表、政协委员、专家学者等，围绕主题深入开展调查研究。调研中要广泛听取青年和各方面意见，针对</w:t>
      </w:r>
      <w:proofErr w:type="gramStart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新兴青年</w:t>
      </w:r>
      <w:proofErr w:type="gramEnd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群体社会参与存在的问题和困难形成切实可行的政策建议。各市（县）、区应至少上报1篇专题调研报告。调研报告字数不限，请于11月25日前以word文本格式发送至指定邮箱（调研过程中形成的调研方案、抽样情况、调查问卷、统计数据等，请一并报送）。</w:t>
      </w:r>
    </w:p>
    <w:p w:rsidR="003466FF" w:rsidRPr="00107503" w:rsidRDefault="00E33847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7E296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lastRenderedPageBreak/>
        <w:t>2</w:t>
      </w:r>
      <w:r w:rsidR="00E51AF9" w:rsidRPr="007E296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．</w:t>
      </w:r>
      <w:r w:rsidRPr="007E296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2017年12月至2018年2月集中开展“面对面”活动。</w:t>
      </w: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各市（县）、区在本级“两会”召开前集中开展“面对面”活动。活动期间，至少开展本级共青团“倾听日”活动1场，结合“1+100”直接联系青年制度深入基层、收集青少年利益诉求和舆情动态，充分用好“青年之声”互动社交平台，团属微信、</w:t>
      </w:r>
      <w:proofErr w:type="gramStart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微博新</w:t>
      </w:r>
      <w:proofErr w:type="gramEnd"/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媒体平台以及青少年综合服务平台等线上线下渠道，提高倾听的代表性和广泛性，加强对后台数据的深入剖析。要注重引导青年广泛参与，在“两会”、团代会、“五四”等适当时间节点，推广“致人大代表或政协委员的一封信”、青年提案网络征集、旁听“两会”等活动，不断丰富“面对面”活动内容与形式。“两会”后，要以提案建议的办理为牵动，做好有关建议、倾听日的跟踪落实，推动“面对面”活动取得实效。有关活动情况、参加活动的代表委员提出的大会发言、提案、建议、议案等材料及宣传报道情况请注重总结和素材收集，于活动结束3日内填写统计表（见附件2）上报团市委。</w:t>
      </w:r>
    </w:p>
    <w:p w:rsidR="003466FF" w:rsidRPr="00107503" w:rsidRDefault="00E33847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7E296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3</w:t>
      </w:r>
      <w:r w:rsidR="00E51AF9" w:rsidRPr="007E296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．</w:t>
      </w:r>
      <w:r w:rsidRPr="007E296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2017年11月至2018年3月做好信息报送工作。</w:t>
      </w: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请各市（县）、区团委自2017年10月起，于每月25日上报一次活动累计开展情况，具体统计内容见《2018年“面对面”活动月报表》（附件2）。同时，在开展“面对面”活动中所形成的调研活动及文章、通知文件、提案、议案、建议等材料，要及时汇总梳理。团中央、团省委将对各地活动开展情况进行抽查和督导，团市委</w:t>
      </w: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将结合“面对面”工作考评细则进行评估，同时纳入年度预防工作考核。</w:t>
      </w:r>
    </w:p>
    <w:p w:rsidR="003466FF" w:rsidRPr="00107503" w:rsidRDefault="003466FF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3466FF" w:rsidRPr="00107503" w:rsidRDefault="00E33847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联系人：范滢皓，高理雯；联系电话：82720159；电子信箱：</w:t>
      </w:r>
      <w:hyperlink r:id="rId9" w:history="1">
        <w:r w:rsidRPr="00107503">
          <w:rPr>
            <w:rStyle w:val="a6"/>
            <w:rFonts w:ascii="仿宋_GB2312" w:eastAsia="仿宋_GB2312" w:hAnsi="Times New Roman" w:cs="Times New Roman" w:hint="eastAsia"/>
            <w:color w:val="000000" w:themeColor="text1"/>
            <w:sz w:val="32"/>
            <w:szCs w:val="32"/>
            <w:u w:val="none"/>
          </w:rPr>
          <w:t>wxtswqyzx@126.com</w:t>
        </w:r>
      </w:hyperlink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3466FF" w:rsidRPr="00107503" w:rsidRDefault="003466FF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3466FF" w:rsidRPr="00107503" w:rsidRDefault="00E33847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附件：1</w:t>
      </w:r>
      <w:r w:rsidR="00E51AF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．</w:t>
      </w: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参考主题方向</w:t>
      </w:r>
    </w:p>
    <w:p w:rsidR="003466FF" w:rsidRPr="00107503" w:rsidRDefault="00E33847" w:rsidP="0010750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     2</w:t>
      </w:r>
      <w:r w:rsidR="00E51AF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．</w:t>
      </w:r>
      <w:r w:rsidRPr="00107503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2018年“面对面”活动月报表</w:t>
      </w:r>
    </w:p>
    <w:p w:rsidR="003466FF" w:rsidRDefault="003466F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466FF" w:rsidRDefault="003466F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466FF" w:rsidRPr="00E51AF9" w:rsidRDefault="00E33847">
      <w:pPr>
        <w:spacing w:line="580" w:lineRule="exact"/>
        <w:ind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共青团无锡市委员会</w:t>
      </w:r>
    </w:p>
    <w:p w:rsidR="00E51AF9" w:rsidRPr="00E51AF9" w:rsidRDefault="00E51AF9" w:rsidP="00E51AF9">
      <w:pPr>
        <w:spacing w:line="240" w:lineRule="exact"/>
        <w:ind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3466FF" w:rsidRPr="00E51AF9" w:rsidRDefault="00E33847">
      <w:pPr>
        <w:spacing w:line="580" w:lineRule="exact"/>
        <w:ind w:firstLineChars="200" w:firstLine="640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2017年9月26日</w:t>
      </w:r>
    </w:p>
    <w:p w:rsidR="003466FF" w:rsidRDefault="003466F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466FF" w:rsidRDefault="003466F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466FF" w:rsidRDefault="003466F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466FF" w:rsidRDefault="003466F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466FF" w:rsidRDefault="003466F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466FF" w:rsidRDefault="003466F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466FF" w:rsidRDefault="003466F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466FF" w:rsidRDefault="003466F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466FF" w:rsidRPr="00E51AF9" w:rsidRDefault="00E33847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E51AF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附件1</w:t>
      </w:r>
      <w:r w:rsidR="00E51AF9" w:rsidRPr="00E51AF9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3466FF" w:rsidRDefault="003466FF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466FF" w:rsidRPr="00E51AF9" w:rsidRDefault="00E33847" w:rsidP="00E51AF9">
      <w:pPr>
        <w:spacing w:line="6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51AF9">
        <w:rPr>
          <w:rFonts w:ascii="方正小标宋简体" w:eastAsia="方正小标宋简体" w:hAnsi="Times New Roman" w:cs="Times New Roman"/>
          <w:sz w:val="44"/>
          <w:szCs w:val="44"/>
        </w:rPr>
        <w:t>参考主题方向</w:t>
      </w:r>
    </w:p>
    <w:p w:rsidR="003466FF" w:rsidRPr="00E51AF9" w:rsidRDefault="003466FF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466FF" w:rsidRPr="00E51AF9" w:rsidRDefault="00E33847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拓宽</w:t>
      </w:r>
      <w:proofErr w:type="gramStart"/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新兴青年</w:t>
      </w:r>
      <w:proofErr w:type="gramEnd"/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群体诉求表达渠道</w:t>
      </w:r>
    </w:p>
    <w:p w:rsidR="003466FF" w:rsidRPr="00E51AF9" w:rsidRDefault="00E33847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扶持引导青年社会组织健康有序发展</w:t>
      </w:r>
    </w:p>
    <w:p w:rsidR="003466FF" w:rsidRPr="00E51AF9" w:rsidRDefault="00E33847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构建</w:t>
      </w:r>
      <w:proofErr w:type="gramStart"/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新兴青年</w:t>
      </w:r>
      <w:proofErr w:type="gramEnd"/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群体人才培养体系</w:t>
      </w:r>
    </w:p>
    <w:p w:rsidR="003466FF" w:rsidRPr="00E51AF9" w:rsidRDefault="00E33847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维护</w:t>
      </w:r>
      <w:proofErr w:type="gramStart"/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新兴青年</w:t>
      </w:r>
      <w:proofErr w:type="gramEnd"/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群体合法权益</w:t>
      </w:r>
    </w:p>
    <w:p w:rsidR="003466FF" w:rsidRPr="00E51AF9" w:rsidRDefault="00E33847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搭建</w:t>
      </w:r>
      <w:proofErr w:type="gramStart"/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新兴青年</w:t>
      </w:r>
      <w:proofErr w:type="gramEnd"/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群体参与公共事务平台</w:t>
      </w:r>
    </w:p>
    <w:p w:rsidR="003466FF" w:rsidRPr="00E51AF9" w:rsidRDefault="003466FF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3466FF" w:rsidRPr="00E51AF9" w:rsidRDefault="00E33847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  <w:sectPr w:rsidR="003466FF" w:rsidRPr="00E51AF9" w:rsidSect="00E51AF9">
          <w:footerReference w:type="even" r:id="rId10"/>
          <w:footerReference w:type="default" r:id="rId11"/>
          <w:pgSz w:w="11906" w:h="16838"/>
          <w:pgMar w:top="2098" w:right="1474" w:bottom="1985" w:left="1588" w:header="851" w:footer="1219" w:gutter="0"/>
          <w:pgNumType w:fmt="numberInDash" w:start="1"/>
          <w:cols w:space="720"/>
          <w:docGrid w:type="lines" w:linePitch="312"/>
        </w:sectPr>
      </w:pPr>
      <w:r w:rsidRPr="00E51AF9">
        <w:rPr>
          <w:rFonts w:ascii="仿宋_GB2312" w:eastAsia="仿宋_GB2312" w:hAnsi="Times New Roman" w:cs="Times New Roman" w:hint="eastAsia"/>
          <w:sz w:val="32"/>
          <w:szCs w:val="32"/>
        </w:rPr>
        <w:t>（建议结合本地实际，在参考主题的基础上细化、分解，从小处入手确定本级“面对面”活动主题。）</w:t>
      </w:r>
    </w:p>
    <w:p w:rsidR="003466FF" w:rsidRPr="00E51AF9" w:rsidRDefault="00E33847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E51AF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附件2</w:t>
      </w:r>
      <w:r w:rsidR="00E51AF9" w:rsidRPr="00E51AF9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3466FF" w:rsidRPr="00E51AF9" w:rsidRDefault="00E33847" w:rsidP="00E51AF9">
      <w:pPr>
        <w:spacing w:line="6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51AF9">
        <w:rPr>
          <w:rFonts w:ascii="方正小标宋简体" w:eastAsia="方正小标宋简体" w:hAnsi="Times New Roman" w:cs="Times New Roman"/>
          <w:sz w:val="44"/>
          <w:szCs w:val="44"/>
        </w:rPr>
        <w:t>2018年</w:t>
      </w:r>
      <w:r w:rsidRPr="00E51AF9">
        <w:rPr>
          <w:rFonts w:ascii="方正小标宋简体" w:eastAsia="方正小标宋简体" w:hAnsi="Times New Roman" w:cs="Times New Roman"/>
          <w:sz w:val="44"/>
          <w:szCs w:val="44"/>
        </w:rPr>
        <w:t>“</w:t>
      </w:r>
      <w:r w:rsidRPr="00E51AF9">
        <w:rPr>
          <w:rFonts w:ascii="方正小标宋简体" w:eastAsia="方正小标宋简体" w:hAnsi="Times New Roman" w:cs="Times New Roman"/>
          <w:sz w:val="44"/>
          <w:szCs w:val="44"/>
        </w:rPr>
        <w:t>面对面</w:t>
      </w:r>
      <w:r w:rsidRPr="00E51AF9">
        <w:rPr>
          <w:rFonts w:ascii="方正小标宋简体" w:eastAsia="方正小标宋简体" w:hAnsi="Times New Roman" w:cs="Times New Roman"/>
          <w:sz w:val="44"/>
          <w:szCs w:val="44"/>
        </w:rPr>
        <w:t>”</w:t>
      </w:r>
      <w:r w:rsidRPr="00E51AF9">
        <w:rPr>
          <w:rFonts w:ascii="方正小标宋简体" w:eastAsia="方正小标宋简体" w:hAnsi="Times New Roman" w:cs="Times New Roman"/>
          <w:sz w:val="44"/>
          <w:szCs w:val="44"/>
        </w:rPr>
        <w:t>活动月报表</w:t>
      </w:r>
    </w:p>
    <w:p w:rsidR="003466FF" w:rsidRPr="00E51AF9" w:rsidRDefault="00E33847">
      <w:pPr>
        <w:spacing w:line="600" w:lineRule="exact"/>
        <w:jc w:val="left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51AF9">
        <w:rPr>
          <w:rFonts w:ascii="Times New Roman" w:eastAsia="楷体_GB2312" w:hAnsi="Times New Roman" w:cs="Times New Roman"/>
          <w:bCs/>
          <w:sz w:val="32"/>
          <w:szCs w:val="32"/>
        </w:rPr>
        <w:t>填报单位：</w:t>
      </w:r>
      <w:r w:rsidRPr="00E51AF9">
        <w:rPr>
          <w:rFonts w:ascii="Times New Roman" w:eastAsia="楷体_GB2312" w:hAnsi="Times New Roman" w:cs="Times New Roman"/>
          <w:bCs/>
          <w:sz w:val="32"/>
          <w:szCs w:val="32"/>
          <w:u w:val="single"/>
        </w:rPr>
        <w:t xml:space="preserve">           </w:t>
      </w:r>
      <w:r w:rsidRPr="00E51AF9">
        <w:rPr>
          <w:rFonts w:ascii="Times New Roman" w:eastAsia="楷体_GB2312" w:hAnsi="Times New Roman" w:cs="Times New Roman"/>
          <w:bCs/>
          <w:sz w:val="32"/>
          <w:szCs w:val="32"/>
        </w:rPr>
        <w:t>市（县）、区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21"/>
        <w:gridCol w:w="900"/>
        <w:gridCol w:w="900"/>
        <w:gridCol w:w="1440"/>
        <w:gridCol w:w="1260"/>
        <w:gridCol w:w="900"/>
        <w:gridCol w:w="1080"/>
        <w:gridCol w:w="1620"/>
        <w:gridCol w:w="1260"/>
        <w:gridCol w:w="900"/>
        <w:gridCol w:w="900"/>
        <w:gridCol w:w="900"/>
      </w:tblGrid>
      <w:tr w:rsidR="003466FF">
        <w:tc>
          <w:tcPr>
            <w:tcW w:w="1007" w:type="dxa"/>
            <w:vMerge w:val="restart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设区市及所辖县（市、区）</w:t>
            </w:r>
          </w:p>
        </w:tc>
        <w:tc>
          <w:tcPr>
            <w:tcW w:w="721" w:type="dxa"/>
            <w:vMerge w:val="restart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有无开展专题调研</w:t>
            </w:r>
          </w:p>
        </w:tc>
        <w:tc>
          <w:tcPr>
            <w:tcW w:w="4500" w:type="dxa"/>
            <w:gridSpan w:val="4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“</w:t>
            </w:r>
            <w:r>
              <w:rPr>
                <w:rFonts w:ascii="Times New Roman" w:hAnsi="Times New Roman" w:cs="Times New Roman"/>
                <w:szCs w:val="21"/>
              </w:rPr>
              <w:t>倾听</w:t>
            </w:r>
            <w:r>
              <w:rPr>
                <w:rFonts w:ascii="Times New Roman" w:hAnsi="Times New Roman" w:cs="Times New Roman"/>
                <w:szCs w:val="21"/>
              </w:rPr>
              <w:t>”</w:t>
            </w:r>
            <w:r>
              <w:rPr>
                <w:rFonts w:ascii="Times New Roman" w:hAnsi="Times New Roman" w:cs="Times New Roman"/>
                <w:szCs w:val="21"/>
              </w:rPr>
              <w:t>活动</w:t>
            </w:r>
          </w:p>
        </w:tc>
        <w:tc>
          <w:tcPr>
            <w:tcW w:w="4860" w:type="dxa"/>
            <w:gridSpan w:val="4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“</w:t>
            </w:r>
            <w:r>
              <w:rPr>
                <w:rFonts w:ascii="Times New Roman" w:hAnsi="Times New Roman" w:cs="Times New Roman"/>
                <w:szCs w:val="21"/>
              </w:rPr>
              <w:t>两会</w:t>
            </w:r>
            <w:r>
              <w:rPr>
                <w:rFonts w:ascii="Times New Roman" w:hAnsi="Times New Roman" w:cs="Times New Roman"/>
                <w:szCs w:val="21"/>
              </w:rPr>
              <w:t>”</w:t>
            </w:r>
            <w:r>
              <w:rPr>
                <w:rFonts w:ascii="Times New Roman" w:hAnsi="Times New Roman" w:cs="Times New Roman"/>
                <w:szCs w:val="21"/>
              </w:rPr>
              <w:t>前</w:t>
            </w:r>
            <w:r>
              <w:rPr>
                <w:rFonts w:ascii="Times New Roman" w:hAnsi="Times New Roman" w:cs="Times New Roman"/>
                <w:szCs w:val="21"/>
              </w:rPr>
              <w:t>“</w:t>
            </w:r>
            <w:r>
              <w:rPr>
                <w:rFonts w:ascii="Times New Roman" w:hAnsi="Times New Roman" w:cs="Times New Roman"/>
                <w:szCs w:val="21"/>
              </w:rPr>
              <w:t>面对面</w:t>
            </w:r>
            <w:r>
              <w:rPr>
                <w:rFonts w:ascii="Times New Roman" w:hAnsi="Times New Roman" w:cs="Times New Roman"/>
                <w:szCs w:val="21"/>
              </w:rPr>
              <w:t>”</w:t>
            </w:r>
            <w:r>
              <w:rPr>
                <w:rFonts w:ascii="Times New Roman" w:hAnsi="Times New Roman" w:cs="Times New Roman"/>
                <w:szCs w:val="21"/>
              </w:rPr>
              <w:t>集中活动</w:t>
            </w:r>
          </w:p>
        </w:tc>
        <w:tc>
          <w:tcPr>
            <w:tcW w:w="900" w:type="dxa"/>
            <w:vMerge w:val="restart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形成的提案、建议等名称（全文另附）</w:t>
            </w:r>
          </w:p>
        </w:tc>
        <w:tc>
          <w:tcPr>
            <w:tcW w:w="900" w:type="dxa"/>
            <w:vMerge w:val="restart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新闻信息数量（另附截图）</w:t>
            </w:r>
          </w:p>
        </w:tc>
        <w:tc>
          <w:tcPr>
            <w:tcW w:w="900" w:type="dxa"/>
            <w:vMerge w:val="restart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有无在团中央面对面系统报送信息</w:t>
            </w:r>
          </w:p>
        </w:tc>
      </w:tr>
      <w:tr w:rsidR="003466FF">
        <w:tc>
          <w:tcPr>
            <w:tcW w:w="1007" w:type="dxa"/>
            <w:vMerge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Merge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活动</w:t>
            </w:r>
          </w:p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900" w:type="dxa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活动</w:t>
            </w:r>
          </w:p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1440" w:type="dxa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参加的人大代表、政协</w:t>
            </w:r>
          </w:p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委员人数</w:t>
            </w:r>
          </w:p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（名单另附）</w:t>
            </w:r>
          </w:p>
        </w:tc>
        <w:tc>
          <w:tcPr>
            <w:tcW w:w="1260" w:type="dxa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参加的青年类别、</w:t>
            </w:r>
          </w:p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人数（名单另附）</w:t>
            </w:r>
          </w:p>
        </w:tc>
        <w:tc>
          <w:tcPr>
            <w:tcW w:w="900" w:type="dxa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活动</w:t>
            </w:r>
          </w:p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团委书记是否参加</w:t>
            </w:r>
          </w:p>
        </w:tc>
        <w:tc>
          <w:tcPr>
            <w:tcW w:w="1620" w:type="dxa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参加的人大代表、政协</w:t>
            </w:r>
          </w:p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委员人数</w:t>
            </w:r>
          </w:p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（名单另附）</w:t>
            </w:r>
          </w:p>
        </w:tc>
        <w:tc>
          <w:tcPr>
            <w:tcW w:w="1260" w:type="dxa"/>
            <w:vAlign w:val="center"/>
          </w:tcPr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参加的青少年类别、</w:t>
            </w:r>
          </w:p>
          <w:p w:rsidR="003466FF" w:rsidRDefault="00E338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人数（名单另附）</w:t>
            </w:r>
          </w:p>
        </w:tc>
        <w:tc>
          <w:tcPr>
            <w:tcW w:w="900" w:type="dxa"/>
            <w:vMerge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6FF">
        <w:tc>
          <w:tcPr>
            <w:tcW w:w="1007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6FF">
        <w:tc>
          <w:tcPr>
            <w:tcW w:w="1007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6FF">
        <w:tc>
          <w:tcPr>
            <w:tcW w:w="1007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6FF">
        <w:tc>
          <w:tcPr>
            <w:tcW w:w="1007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6FF">
        <w:tc>
          <w:tcPr>
            <w:tcW w:w="1007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6FF">
        <w:tc>
          <w:tcPr>
            <w:tcW w:w="1007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6FF">
        <w:tc>
          <w:tcPr>
            <w:tcW w:w="1007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6FF">
        <w:tc>
          <w:tcPr>
            <w:tcW w:w="1007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6FF">
        <w:tc>
          <w:tcPr>
            <w:tcW w:w="1007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466FF">
        <w:tc>
          <w:tcPr>
            <w:tcW w:w="1007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</w:tcPr>
          <w:p w:rsidR="003466FF" w:rsidRDefault="003466F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466FF" w:rsidRDefault="00E33847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51AF9">
        <w:rPr>
          <w:rFonts w:ascii="仿宋_GB2312" w:eastAsia="仿宋_GB2312" w:hAnsi="Times New Roman" w:cs="Times New Roman" w:hint="eastAsia"/>
          <w:sz w:val="28"/>
          <w:szCs w:val="28"/>
        </w:rPr>
        <w:t>备注：此表实行一月一报，从10月25日开始，由各市（县）、区团委汇总报送“面对面”活动累计开展情况，并附相关内容。</w:t>
      </w: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  <w:sectPr w:rsidR="00E51AF9" w:rsidSect="00E51AF9">
          <w:footerReference w:type="default" r:id="rId12"/>
          <w:pgSz w:w="16838" w:h="11906" w:orient="landscape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>
      <w:pPr>
        <w:spacing w:line="320" w:lineRule="exact"/>
        <w:ind w:leftChars="73" w:left="153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 w:rsidP="00E51AF9">
      <w:pPr>
        <w:spacing w:line="320" w:lineRule="exact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51AF9" w:rsidRDefault="00E51AF9" w:rsidP="00E51AF9">
      <w:pPr>
        <w:pStyle w:val="Default"/>
        <w:spacing w:line="560" w:lineRule="exact"/>
        <w:ind w:right="160" w:firstLineChars="200" w:firstLine="640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51AF9" w:rsidRDefault="00E51AF9" w:rsidP="00E51AF9"/>
    <w:p w:rsidR="00E51AF9" w:rsidRPr="00B428E5" w:rsidRDefault="00E51AF9" w:rsidP="00E51AF9">
      <w:pPr>
        <w:spacing w:line="560" w:lineRule="exact"/>
        <w:ind w:rightChars="-33" w:right="-69" w:firstLineChars="50" w:firstLine="105"/>
        <w:rPr>
          <w:rFonts w:ascii="仿宋_GB2312" w:eastAsia="仿宋_GB2312" w:hAnsi="华文仿宋"/>
          <w:sz w:val="32"/>
        </w:rPr>
      </w:pPr>
      <w:r>
        <w:rPr>
          <w:rFonts w:ascii="Times New Roman" w:eastAsia="宋体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363854</wp:posOffset>
                </wp:positionV>
                <wp:extent cx="581025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5pt,28.65pt" to="45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PWLgIAADMEAAAOAAAAZHJzL2Uyb0RvYy54bWysU82O0zAQviPxDpbvbZLSLG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"/>
            </w:pict>
          </mc:Fallback>
        </mc:AlternateContent>
      </w:r>
      <w:r>
        <w:rPr>
          <w:rFonts w:ascii="仿宋_GB2312" w:eastAsia="仿宋_GB2312" w:hAnsi="华文仿宋" w:hint="eastAsia"/>
          <w:sz w:val="32"/>
        </w:rPr>
        <w:t>共</w:t>
      </w:r>
      <w:r>
        <w:rPr>
          <w:rFonts w:ascii="Times New Roman" w:eastAsia="宋体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29209</wp:posOffset>
                </wp:positionV>
                <wp:extent cx="58102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5pt,2.3pt" to="45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q3Lg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"/>
            </w:pict>
          </mc:Fallback>
        </mc:AlternateContent>
      </w:r>
      <w:r>
        <w:rPr>
          <w:rFonts w:ascii="仿宋_GB2312" w:eastAsia="仿宋_GB2312" w:hAnsi="华文仿宋" w:hint="eastAsia"/>
          <w:sz w:val="32"/>
        </w:rPr>
        <w:t xml:space="preserve">青团无锡市委员会办公室    　　</w:t>
      </w:r>
      <w:proofErr w:type="gramStart"/>
      <w:r>
        <w:rPr>
          <w:rFonts w:ascii="仿宋_GB2312" w:eastAsia="仿宋_GB2312" w:hAnsi="华文仿宋" w:hint="eastAsia"/>
          <w:sz w:val="32"/>
        </w:rPr>
        <w:t xml:space="preserve">　</w:t>
      </w:r>
      <w:proofErr w:type="gramEnd"/>
      <w:r>
        <w:rPr>
          <w:rFonts w:ascii="仿宋_GB2312" w:eastAsia="仿宋_GB2312" w:hAnsi="华文仿宋" w:hint="eastAsia"/>
          <w:sz w:val="32"/>
        </w:rPr>
        <w:t xml:space="preserve"> 2017年9月27日印发</w:t>
      </w:r>
    </w:p>
    <w:sectPr w:rsidR="00E51AF9" w:rsidRPr="00B428E5" w:rsidSect="00E51AF9"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51" w:rsidRDefault="00F22551">
      <w:r>
        <w:separator/>
      </w:r>
    </w:p>
  </w:endnote>
  <w:endnote w:type="continuationSeparator" w:id="0">
    <w:p w:rsidR="00F22551" w:rsidRDefault="00F2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1175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E51AF9" w:rsidRPr="00E51AF9" w:rsidRDefault="00E51AF9">
        <w:pPr>
          <w:pStyle w:val="a3"/>
          <w:rPr>
            <w:rFonts w:asciiTheme="minorEastAsia" w:eastAsiaTheme="minorEastAsia" w:hAnsiTheme="minorEastAsia"/>
            <w:sz w:val="24"/>
          </w:rPr>
        </w:pPr>
        <w:r w:rsidRPr="00E51AF9">
          <w:rPr>
            <w:rFonts w:asciiTheme="minorEastAsia" w:eastAsiaTheme="minorEastAsia" w:hAnsiTheme="minorEastAsia"/>
            <w:sz w:val="24"/>
          </w:rPr>
          <w:fldChar w:fldCharType="begin"/>
        </w:r>
        <w:r w:rsidRPr="00E51AF9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E51AF9">
          <w:rPr>
            <w:rFonts w:asciiTheme="minorEastAsia" w:eastAsiaTheme="minorEastAsia" w:hAnsiTheme="minorEastAsia"/>
            <w:sz w:val="24"/>
          </w:rPr>
          <w:fldChar w:fldCharType="separate"/>
        </w:r>
        <w:r w:rsidR="007E2968" w:rsidRPr="007E2968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7E2968">
          <w:rPr>
            <w:rFonts w:asciiTheme="minorEastAsia" w:eastAsiaTheme="minorEastAsia" w:hAnsiTheme="minorEastAsia"/>
            <w:noProof/>
            <w:sz w:val="24"/>
          </w:rPr>
          <w:t xml:space="preserve"> 2 -</w:t>
        </w:r>
        <w:r w:rsidRPr="00E51AF9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E51AF9" w:rsidRDefault="00E51A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9308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E51AF9" w:rsidRPr="00E51AF9" w:rsidRDefault="00E51AF9">
        <w:pPr>
          <w:pStyle w:val="a3"/>
          <w:jc w:val="right"/>
          <w:rPr>
            <w:rFonts w:asciiTheme="minorEastAsia" w:eastAsiaTheme="minorEastAsia" w:hAnsiTheme="minorEastAsia"/>
            <w:sz w:val="24"/>
          </w:rPr>
        </w:pPr>
        <w:r w:rsidRPr="00E51AF9">
          <w:rPr>
            <w:rFonts w:asciiTheme="minorEastAsia" w:eastAsiaTheme="minorEastAsia" w:hAnsiTheme="minorEastAsia"/>
            <w:sz w:val="24"/>
          </w:rPr>
          <w:fldChar w:fldCharType="begin"/>
        </w:r>
        <w:r w:rsidRPr="00E51AF9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E51AF9">
          <w:rPr>
            <w:rFonts w:asciiTheme="minorEastAsia" w:eastAsiaTheme="minorEastAsia" w:hAnsiTheme="minorEastAsia"/>
            <w:sz w:val="24"/>
          </w:rPr>
          <w:fldChar w:fldCharType="separate"/>
        </w:r>
        <w:r w:rsidR="007E2968" w:rsidRPr="007E2968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7E2968">
          <w:rPr>
            <w:rFonts w:asciiTheme="minorEastAsia" w:eastAsiaTheme="minorEastAsia" w:hAnsiTheme="minorEastAsia"/>
            <w:noProof/>
            <w:sz w:val="24"/>
          </w:rPr>
          <w:t xml:space="preserve"> 1 -</w:t>
        </w:r>
        <w:r w:rsidRPr="00E51AF9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E51AF9" w:rsidRDefault="00E51AF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7841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E51AF9" w:rsidRDefault="00E51AF9">
        <w:pPr>
          <w:pStyle w:val="a3"/>
          <w:jc w:val="right"/>
        </w:pPr>
      </w:p>
      <w:p w:rsidR="00E51AF9" w:rsidRPr="00E51AF9" w:rsidRDefault="00E51AF9">
        <w:pPr>
          <w:pStyle w:val="a3"/>
          <w:jc w:val="right"/>
          <w:rPr>
            <w:rFonts w:asciiTheme="minorEastAsia" w:eastAsiaTheme="minorEastAsia" w:hAnsiTheme="minorEastAsia"/>
            <w:sz w:val="24"/>
          </w:rPr>
        </w:pPr>
        <w:r w:rsidRPr="00E51AF9">
          <w:rPr>
            <w:rFonts w:asciiTheme="minorEastAsia" w:eastAsiaTheme="minorEastAsia" w:hAnsiTheme="minorEastAsia"/>
            <w:sz w:val="24"/>
          </w:rPr>
          <w:fldChar w:fldCharType="begin"/>
        </w:r>
        <w:r w:rsidRPr="00E51AF9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E51AF9">
          <w:rPr>
            <w:rFonts w:asciiTheme="minorEastAsia" w:eastAsiaTheme="minorEastAsia" w:hAnsiTheme="minorEastAsia"/>
            <w:sz w:val="24"/>
          </w:rPr>
          <w:fldChar w:fldCharType="separate"/>
        </w:r>
        <w:r w:rsidR="007E2968" w:rsidRPr="007E2968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7E2968">
          <w:rPr>
            <w:rFonts w:asciiTheme="minorEastAsia" w:eastAsiaTheme="minorEastAsia" w:hAnsiTheme="minorEastAsia"/>
            <w:noProof/>
            <w:sz w:val="24"/>
          </w:rPr>
          <w:t xml:space="preserve"> 7 -</w:t>
        </w:r>
        <w:r w:rsidRPr="00E51AF9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3466FF" w:rsidRPr="00E51AF9" w:rsidRDefault="003466FF" w:rsidP="00E51A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51" w:rsidRDefault="00F22551">
      <w:r>
        <w:separator/>
      </w:r>
    </w:p>
  </w:footnote>
  <w:footnote w:type="continuationSeparator" w:id="0">
    <w:p w:rsidR="00F22551" w:rsidRDefault="00F2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39C"/>
    <w:multiLevelType w:val="singleLevel"/>
    <w:tmpl w:val="59C4739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26147"/>
    <w:rsid w:val="00107503"/>
    <w:rsid w:val="003466FF"/>
    <w:rsid w:val="007E2968"/>
    <w:rsid w:val="0082077A"/>
    <w:rsid w:val="008B4825"/>
    <w:rsid w:val="00AA478E"/>
    <w:rsid w:val="00DF7E28"/>
    <w:rsid w:val="00E33847"/>
    <w:rsid w:val="00E33927"/>
    <w:rsid w:val="00E51AF9"/>
    <w:rsid w:val="00EE03DA"/>
    <w:rsid w:val="00F22551"/>
    <w:rsid w:val="2D623DA3"/>
    <w:rsid w:val="30455333"/>
    <w:rsid w:val="35CA2699"/>
    <w:rsid w:val="5E526147"/>
    <w:rsid w:val="7F5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1AF9"/>
    <w:rPr>
      <w:rFonts w:ascii="Calibri" w:eastAsia="宋体" w:hAnsi="Calibri" w:cs="Times New Roman"/>
      <w:kern w:val="2"/>
      <w:sz w:val="18"/>
      <w:szCs w:val="24"/>
    </w:rPr>
  </w:style>
  <w:style w:type="paragraph" w:customStyle="1" w:styleId="Default">
    <w:name w:val="Default"/>
    <w:rsid w:val="00E51AF9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1AF9"/>
    <w:rPr>
      <w:rFonts w:ascii="Calibri" w:eastAsia="宋体" w:hAnsi="Calibri" w:cs="Times New Roman"/>
      <w:kern w:val="2"/>
      <w:sz w:val="18"/>
      <w:szCs w:val="24"/>
    </w:rPr>
  </w:style>
  <w:style w:type="paragraph" w:customStyle="1" w:styleId="Default">
    <w:name w:val="Default"/>
    <w:rsid w:val="00E51AF9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xtswqyzx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zzy19891123</dc:creator>
  <cp:lastModifiedBy>User</cp:lastModifiedBy>
  <cp:revision>6</cp:revision>
  <dcterms:created xsi:type="dcterms:W3CDTF">2017-09-22T01:25:00Z</dcterms:created>
  <dcterms:modified xsi:type="dcterms:W3CDTF">2017-09-26T06:32:00Z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