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4</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1</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29</w:t>
      </w:r>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hint="eastAsia" w:ascii="Times New Roman" w:hAnsi="Times New Roman" w:eastAsia="楷体_GB2312"/>
          <w:b/>
          <w:bCs/>
          <w:color w:val="auto"/>
          <w:sz w:val="32"/>
          <w:szCs w:val="32"/>
          <w:lang w:val="en-US" w:eastAsia="zh-CN"/>
        </w:rPr>
      </w:pPr>
      <w:r>
        <w:rPr>
          <w:rFonts w:hint="eastAsia" w:ascii="Times New Roman" w:hAnsi="Times New Roman" w:eastAsia="楷体_GB2312"/>
          <w:b/>
          <w:bCs/>
          <w:color w:val="auto"/>
          <w:sz w:val="32"/>
          <w:szCs w:val="32"/>
          <w:lang w:eastAsia="zh-CN"/>
        </w:rPr>
        <w:t>金融工作</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为实体经济注入金融活水</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浦发银行发布科技企业金融服务体系</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科技金融是中央金融工作会议确定的“五篇大文章”之一，浦发银行在新一轮战略中，把科技金融作为战略主赛道深入推进。近日，浦发银行举办以“融通科创 伙伴银行”为主题的科技企业金融服务体系发布会，致力于为各类科技企业提供精准、便捷的金融服务，全生命周期护航科技企业发展。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浦发银行此次推出的科技企业“浦科”系列产品，提供“5+7+X”组合服务，产品体系具有全周期、多融通、数智化、可定制四大特点，致力于满足各类科技企业全生命周期金融需求，支持科技企业全流程创新。</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通过“浦创贷”，应用多维数据分析，实现金融活水对早期科技企业的“精准滴灌”。通过“浦投贷”，携手生态圈合作伙伴，股贷联动，以贷款+外部直投模式实现贷小、贷早、贷硬科技破局。通过“浦新贷”，聚焦五类资质企业，依托信用方式、灵活安排利率，动态适配科技企业成长。通过“浦研贷”“浦科并购贷”等，服务科技企业关键科创成果转化、技术突破、产品研发、并购重组。</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会上，浦发银行与工信部合作推出了“浦链贷”产品，围绕重点产业链建立“政企银”协作协商机制，探索复杂产业链场景下综合金融服务方案，提供场景定制、产品组合等多元化金融服务，支持制造业强链补链；与中科院下属中科院创投、国科投资签署战略合作协议，与国科新材料和中国太保产险共同签署合作备忘录，共同建立支持科技企业发展的生态圈。浦发银行还向全行一批“科技特色支行”进行了授牌，在全行营造支持科技企业发展的浓厚氛围。</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此次发布的科技企业金融服务体系是浦发银行科技金融业务发展的新起点。浦发银行将与合作伙伴共同为科技企业发展保驾护航，书写好“科技金融”这篇大文章，为科技强国建设贡献力量。（浦发银行）</w:t>
      </w:r>
    </w:p>
    <w:p>
      <w:pPr>
        <w:pStyle w:val="2"/>
        <w:rPr>
          <w:rFonts w:hint="eastAsia"/>
          <w:lang w:val="en-US" w:eastAsia="zh-CN"/>
        </w:rPr>
      </w:pP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rPr>
        <w:t>国企之窗</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打造智能汽车生态城</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“临港方案”助力中国汽车产业行业高质量发展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2023年，临港智能汽车整车产量突破110万辆，产业产值突破3000亿元，对比2019年的314亿元，5年实现了10倍的增长奇迹。在临港新片区的“6+2”前沿产业体系中，智能新能源汽车产业成为经济规模最大、带动效益最强的前沿产业。</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在全球智能网联汽车产业发展驶入快车道之际，未来的汽车将演变为与智慧交通、智慧城市等深度融合，产业协同、关键技术突破、政策法规创新等都将持续向纵深处推进。临港将要打造一座全要素、全场景、全生态的智能汽车生态城，在建设中试图给出“临港方案”，助力中国汽车产业在新一轮变革浪潮中引领全球。</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龙头牵引 优化格局</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临港集团持续培育产业锻造能力，着眼新能源汽车的规模效应和产业特征，以上汽临港基地和特斯拉超级工厂两大整车主机厂为龙头，形成自主创新品牌和外资顶尖品牌同台竞技的格局，同时拓展价值空间和发展增量，增量固投大幅提升，产值贡献度更高，产业特色更明显，体现了“新担当、新作为、新气象”。</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行业变革 抓住机遇</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临港新片区描绘出一张新蓝图——智能汽车生态城。根据近日发布的《临港新片区“智能汽车生态城”建设行动方案》，临港新片区重点围绕智能汽车产业“一条生态链、两种场景、三类要素创新”，将聚焦汽车电子、操作系统、汽车数据等核心要素，打造一座全链条、全场景、全要素的智能汽车生态城，为中国汽车产业发展提供“新动能”。</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立足本土 走向世界</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临港新片区通过发布“智能汽车生态城”品牌，涵盖制造、研发、贸易、金融、检测，重点发展车规级芯片、操作系统、汽车电子、汽车数据等领域，将临港优质的营商环境、产业生态氛围和创新策源能力传递给国内外企业，推动更多优质的汽车电子和软件企业落地临港新片区。临港新片区将通过聚焦未来颠覆性技术创新，重点发展汽车电子硬件、汽车软件、汽车芯片、汽车数据等赛道，力争成为中国智能新能源汽车产业发展的国际标杆地、创新策源地和产业集聚地。</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汽集团、上汽全球电动汽车样板工厂项目、赛可智能自动驾驶出租车项目、中海庭地图项目、友道智途智能重卡项目也与临港新片区管理委员会签订战略合作协议，未来将继续深化在临港布局智造、智行、智联等智能网联汽车领域的核心能力，携手生态伙伴，打造上海智能网联样板方案，全力推进临港车路云一体化实践应用。（临港集团）</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上海空铁联运服务中心揭牌</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机场集团、上港集团助力国际航运中心建设</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w:t>
      </w:r>
      <w:r>
        <w:rPr>
          <w:rFonts w:hint="default" w:ascii="Times New Roman" w:hAnsi="Times New Roman" w:eastAsia="仿宋_GB2312" w:cs="宋体"/>
          <w:i w:val="0"/>
          <w:caps w:val="0"/>
          <w:color w:val="auto"/>
          <w:spacing w:val="0"/>
          <w:sz w:val="32"/>
          <w:szCs w:val="32"/>
          <w:shd w:val="clear"/>
          <w:lang w:val="en-US" w:eastAsia="zh-CN" w:bidi="ar"/>
        </w:rPr>
        <w:t>日，在上海市政府牵头下，上港集团、东航集团、机场集团、中国铁路上海局集团、中铁快运五方联合成立上海空铁联运服务中心，成为上海国际航运中心建设又一重要里程碑。</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在各方见证下，上海空铁联运服务中心正式揭牌，成员单位代表签署多方合作协议，并宣布空铁联运首票货物成功运送。根据协议，各方将以坚持“顶层谋划、平台支撑、政策引导、市场运作、协同创新”为合作愿景，共同谋划空铁联运网络布局和发展战略，推动空铁联运产品落地并实现市场运营，巩固提升上海国际货运枢纽功能，促进航空物流和高铁快运高质量发展，构建结构更合理、服务更高效、运输更低碳环保的现代航运集疏运体系。</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仪式上，介绍了首票空铁联运货物成功运送的业务情况，标志着上海空铁联运服务中心试运行开启。首单10公斤的货物从广州白云国际机场起飞，经过2小时长途飞行，降落于上海虹桥国际机场。货物检验完毕后，迅速转由上海虹桥火车站进行高铁运输，并在5小时后顺利抵达目的地北京南站。</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未来，上海空铁联运服务中心将以客户需求为导向，整合高铁和航空运输的优势资源，统筹协调空铁联运业务的政策商定、产品研发、市场推广和服务运营等环节，打造铁路货运站与机场之间门到门一站式空铁联运服务，为物流行业注入新的活力。</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机场集团、上港集团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长三角示范区首条轨道交通工程主体结构贯通</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随着最后一跨简支箱梁浇筑完成，由申通地铁集团建设的上海轨道交通17号线西延伸主体结构全线贯通，后续各参建单位将围绕轨道贯通、“四电”工程和桥面附属工程等建设项目全力开展施工，为最终开通试运营奠定坚实基础。</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加强长三角一体化示范区和上海中心城区的快速“连接器”，17号线西延伸工程是长三角示范区内一条重要的轨道交通线路，由既有东方绿舟站向西延伸至西岑站，全长约6.6公里，共设一站一区间，全线为高架线路，连续跨越G50高速公路和三级航道拦路港。</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西岑站为地上三层岛式车站，顶部为钢结构屋顶，主体建筑面积约10801平米，已于2023年7月19日结构封顶。西岑站结合青浦地区江南水乡整体风貌，采取了“折扇”景观方案，实现建筑景观与周围环境的和谐统一，与上海示范区线西岑站一体化设计及施工，将来实现同站换乘。</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跨拦路港矮塔斜拉桥和跨G50高速连续梁节点桥均为17号线西延伸工程关键控制性节点。拦路港属于三级航道，日常通行流量较高，跨拦路港矮塔斜拉桥全桥总长为380米，其中主跨为180米，一举横跨150米宽度的拦路港河道，是国内轨道交通工程同类型跨度最大的矮塔斜拉桥。跨G50节点桥全桥总长为261米，其中主跨为111米，斜跨了交通繁忙的G50双向6车道高速。上海申通地铁建设集团组织设计、监理、施工各方，在挂篮施工中形成一套包含定型化全封闭兜底、挂篮防倾覆“双保险”、竖向后锚应力监测等措施的挂篮安全防护系统，有针对性地制定了质量、安全、机械材料等系列措施</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最终在2023年12月相继实现了两座节点桥的顺利合龙。</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17号线西延伸工程通车，将为华为研发基地、西岑科创中心提供极大的交通便利，并且有益于虹桥国际枢纽建设，</w:t>
      </w:r>
      <w:r>
        <w:rPr>
          <w:rFonts w:hint="eastAsia" w:ascii="Times New Roman" w:hAnsi="Times New Roman" w:eastAsia="仿宋_GB2312" w:cs="宋体"/>
          <w:i w:val="0"/>
          <w:caps w:val="0"/>
          <w:color w:val="auto"/>
          <w:spacing w:val="0"/>
          <w:sz w:val="32"/>
          <w:szCs w:val="32"/>
          <w:shd w:val="clear"/>
          <w:lang w:val="en-US" w:eastAsia="zh-CN" w:bidi="ar"/>
        </w:rPr>
        <w:t>有力</w:t>
      </w:r>
      <w:r>
        <w:rPr>
          <w:rFonts w:hint="default" w:ascii="Times New Roman" w:hAnsi="Times New Roman" w:eastAsia="仿宋_GB2312" w:cs="宋体"/>
          <w:i w:val="0"/>
          <w:caps w:val="0"/>
          <w:color w:val="auto"/>
          <w:spacing w:val="0"/>
          <w:sz w:val="32"/>
          <w:szCs w:val="32"/>
          <w:shd w:val="clear"/>
          <w:lang w:val="en-US" w:eastAsia="zh-CN" w:bidi="ar"/>
        </w:rPr>
        <w:t>支撑</w:t>
      </w:r>
      <w:r>
        <w:rPr>
          <w:rFonts w:hint="eastAsia" w:ascii="Times New Roman" w:hAnsi="Times New Roman" w:eastAsia="仿宋_GB2312" w:cs="宋体"/>
          <w:i w:val="0"/>
          <w:caps w:val="0"/>
          <w:color w:val="auto"/>
          <w:spacing w:val="0"/>
          <w:sz w:val="32"/>
          <w:szCs w:val="32"/>
          <w:shd w:val="clear"/>
          <w:lang w:val="en-US" w:eastAsia="zh-CN" w:bidi="ar"/>
        </w:rPr>
        <w:t>了</w:t>
      </w:r>
      <w:r>
        <w:rPr>
          <w:rFonts w:hint="default" w:ascii="Times New Roman" w:hAnsi="Times New Roman" w:eastAsia="仿宋_GB2312" w:cs="宋体"/>
          <w:i w:val="0"/>
          <w:caps w:val="0"/>
          <w:color w:val="auto"/>
          <w:spacing w:val="0"/>
          <w:sz w:val="32"/>
          <w:szCs w:val="32"/>
          <w:shd w:val="clear"/>
          <w:lang w:val="en-US" w:eastAsia="zh-CN" w:bidi="ar"/>
        </w:rPr>
        <w:t>新城发展和城市内部交通系统，</w:t>
      </w:r>
      <w:r>
        <w:rPr>
          <w:rFonts w:hint="eastAsia" w:ascii="Times New Roman" w:hAnsi="Times New Roman" w:eastAsia="仿宋_GB2312" w:cs="宋体"/>
          <w:i w:val="0"/>
          <w:caps w:val="0"/>
          <w:color w:val="auto"/>
          <w:spacing w:val="0"/>
          <w:sz w:val="32"/>
          <w:szCs w:val="32"/>
          <w:shd w:val="clear"/>
          <w:lang w:val="en-US" w:eastAsia="zh-CN" w:bidi="ar"/>
        </w:rPr>
        <w:t>从而</w:t>
      </w:r>
      <w:r>
        <w:rPr>
          <w:rFonts w:hint="default" w:ascii="Times New Roman" w:hAnsi="Times New Roman" w:eastAsia="仿宋_GB2312" w:cs="宋体"/>
          <w:i w:val="0"/>
          <w:caps w:val="0"/>
          <w:color w:val="auto"/>
          <w:spacing w:val="0"/>
          <w:sz w:val="32"/>
          <w:szCs w:val="32"/>
          <w:shd w:val="clear"/>
          <w:lang w:val="en-US" w:eastAsia="zh-CN" w:bidi="ar"/>
        </w:rPr>
        <w:t>促进长三角示范区一体化高质量发展。</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申通地铁集团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建设国际一流创新社区</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长三角投资公司加速推进西岑科创园区建设</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w:t>
      </w:r>
      <w:r>
        <w:rPr>
          <w:rFonts w:hint="default" w:ascii="Times New Roman" w:hAnsi="Times New Roman" w:eastAsia="仿宋_GB2312" w:cs="宋体"/>
          <w:i w:val="0"/>
          <w:caps w:val="0"/>
          <w:color w:val="auto"/>
          <w:spacing w:val="0"/>
          <w:sz w:val="32"/>
          <w:szCs w:val="32"/>
          <w:shd w:val="clear"/>
          <w:lang w:val="en-US" w:eastAsia="zh-CN" w:bidi="ar"/>
        </w:rPr>
        <w:t>，《长三角生态绿色一体化发展示范区重大建设项目三年行动计划（2024-2026年）》发布。长三角投资公司开发建设的青浦西岑科创中心是长三角生态绿色一体化发展示范区先行启动区“一厅三片”集中示范项目之一，是上海落实长三角一体化国家战略和建设具有全球影响力科创中心的重要载体，也是长三角数字干线的关键节点。</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bookmarkStart w:id="0" w:name="_GoBack"/>
      <w:r>
        <w:rPr>
          <w:rFonts w:hint="default" w:ascii="Times New Roman" w:hAnsi="Times New Roman" w:eastAsia="仿宋_GB2312" w:cs="宋体"/>
          <w:i w:val="0"/>
          <w:caps w:val="0"/>
          <w:color w:val="auto"/>
          <w:spacing w:val="0"/>
          <w:sz w:val="32"/>
          <w:szCs w:val="32"/>
          <w:shd w:val="clear"/>
          <w:lang w:val="en-US" w:eastAsia="zh-CN" w:bidi="ar"/>
        </w:rPr>
        <w:t>近年来，西岑科创中心建设继续按下“加速键”，长三角</w:t>
      </w:r>
      <w:bookmarkEnd w:id="0"/>
      <w:r>
        <w:rPr>
          <w:rFonts w:hint="default" w:ascii="Times New Roman" w:hAnsi="Times New Roman" w:eastAsia="仿宋_GB2312" w:cs="宋体"/>
          <w:i w:val="0"/>
          <w:caps w:val="0"/>
          <w:color w:val="auto"/>
          <w:spacing w:val="0"/>
          <w:sz w:val="32"/>
          <w:szCs w:val="32"/>
          <w:shd w:val="clear"/>
          <w:lang w:val="en-US" w:eastAsia="zh-CN" w:bidi="ar"/>
        </w:rPr>
        <w:t>投资公司推动西岑科创园区确立了“城中村+组团滚动”开发的运作模式，成功中标西岑社区“城中村”改造项目，西岑动迁安置房实现拿地即开工并加快建设；完成西岑科创园区整体项目开发建设及投资计划的筹划工作，有序推进各核心区块的前期工作；承接代建华为人才公寓周边6条道路的</w:t>
      </w:r>
      <w:r>
        <w:rPr>
          <w:rFonts w:hint="eastAsia" w:ascii="Times New Roman" w:hAnsi="Times New Roman" w:eastAsia="仿宋_GB2312" w:cs="宋体"/>
          <w:i w:val="0"/>
          <w:caps w:val="0"/>
          <w:color w:val="auto"/>
          <w:spacing w:val="0"/>
          <w:sz w:val="32"/>
          <w:szCs w:val="32"/>
          <w:shd w:val="clear"/>
          <w:lang w:val="en-US" w:eastAsia="zh-CN" w:bidi="ar"/>
        </w:rPr>
        <w:t>任务</w:t>
      </w:r>
      <w:r>
        <w:rPr>
          <w:rFonts w:hint="default" w:ascii="Times New Roman" w:hAnsi="Times New Roman" w:eastAsia="仿宋_GB2312" w:cs="宋体"/>
          <w:i w:val="0"/>
          <w:caps w:val="0"/>
          <w:color w:val="auto"/>
          <w:spacing w:val="0"/>
          <w:sz w:val="32"/>
          <w:szCs w:val="32"/>
          <w:shd w:val="clear"/>
          <w:lang w:val="en-US" w:eastAsia="zh-CN" w:bidi="ar"/>
        </w:rPr>
        <w:t>，通过倒排工期、挂图作战、每日跟踪，圆满完成了各项目标节点要求。</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西岑科创园区定位为世界级科创小镇，将构建长三角最具活力的创新极核。在示范区总体规划“世界级滨水人居文明典范”愿景下，承接启动区总体规划“生态绿色高质量发展、跨界融合创新引领、世界级水乡人居典范”的目标要求，西岑项目将在双碳智慧实践、科创产业集聚、水乡活力社区三方面体现标杆示范性。同时秉承绿色发展理念、传承水乡人居基因，西岑科创园区将保留全部现状河道，以自然水系为脉络，构建芯片设计、人工智能和物联网等产业体系，探索前沿科技、共搭研发平台、打通创新链条、创建科创绿核，努力打造成为面向未来的碳中和实践区、集聚全球顶尖人才的科创高地和世界水岸小镇的江南典范。</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未来，长三角投资公司将坚决贯彻习近平总书记在深入推进长三角一体化发展座谈会提出的“先行探路、引领示范、辐射带动”12字新要求，持续高效率推进西岑科创园区建设，高颜值打造示范区标杆园区，确保规划设计高质量落地和整体项目高品质呈现，为长三角一体化示范区建设发展增能添彩。</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长三角投资公司</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lang w:val="en-US" w:eastAsia="zh-CN"/>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激活数据要素，数据集团下属上海征信</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推动“上海绿色金融服务平台”上线</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近日，在市相关部门指导下，由数据集团和下属企业上海征信牵头承办的“上海绿色金融服务平台”正式启动上线，标志着上海国际金融中心又增添了一个重要基础设施，国际绿色金融枢纽建设迈出更坚实一步。</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跑出绿色转型“加速度”</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该平台由绿色低碳政策信息服务、绿色金融产品展示对接、绿色产业识别和信用评价、绿色项目库、统计分析及风险预警等功能模块组成；目前，平台绿色项目库已运用金融科技工具，探索绿色项目要素智能识别、环境风险自动审核和分类标识及时认定，完成首批入库项目11个，促成项目融资35.81亿元。</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做好数据赋能“大文章”</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上海征信现已归集征信数据超过24亿条，实现上海市场主体全覆盖，为40多家金融机构提供高质量征信服务。</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未来，数据集团将继续践行“构建数据要素市场、激发数据要素潜能”的战略使命，在科技金融、绿色金融、普惠金融、养老金融和数字金融五篇大文章中发挥更大作用，全面赋能经济社会发展，助力上海国际金融中心建设。</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数据集团</w:t>
      </w:r>
      <w:r>
        <w:rPr>
          <w:rFonts w:hint="eastAsia" w:ascii="Times New Roman" w:hAnsi="Times New Roman" w:eastAsia="仿宋_GB2312" w:cs="宋体"/>
          <w:i w:val="0"/>
          <w:caps w:val="0"/>
          <w:color w:val="auto"/>
          <w:spacing w:val="0"/>
          <w:sz w:val="32"/>
          <w:szCs w:val="32"/>
          <w:shd w:val="clear"/>
          <w:lang w:val="en-US"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9E0419D"/>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D74E87"/>
    <w:rsid w:val="18ED4BE6"/>
    <w:rsid w:val="18F02389"/>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AE5195"/>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5CB8"/>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635B7"/>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17391"/>
    <w:rsid w:val="4D37D611"/>
    <w:rsid w:val="4D3C100D"/>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30082"/>
    <w:rsid w:val="4ED14027"/>
    <w:rsid w:val="4ED246A3"/>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2F06"/>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4A1509"/>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29</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2023-01-03T09:47:00Z</dcterms:created>
  <dc:creator>user</dc:creator>
  <cp:lastModifiedBy>WPS_1622794468</cp:lastModifiedBy>
  <cp:lastPrinted>2024-01-30T01:11:01Z</cp:lastPrinted>
  <dcterms:modified xsi:type="dcterms:W3CDTF">2024-01-30T01:13:25Z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32CB7CBCE7088D96EEB59765A4B272E9</vt:lpwstr>
  </property>
</Properties>
</file>